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 xml:space="preserve">График очной защиты проектов заявителей, допущенных на участие в республиканских конкурсах «Лучший архив коммерческой организации – источника комплектования государственного (муниципального) архива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Республики Татарстан» и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  <w:t>Место проведения: г. Казань, ул. Ново-Песочная, д. 44, 1 этаж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  <w:t>Государственный комитет Республики Татарстан по архивному делу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</w:r>
    </w:p>
    <w:p>
      <w:pPr>
        <w:pStyle w:val="NormalWeb"/>
        <w:tabs>
          <w:tab w:val="clear" w:pos="708"/>
          <w:tab w:val="left" w:pos="3460" w:leader="none"/>
          <w:tab w:val="center" w:pos="4708" w:leader="none"/>
        </w:tabs>
        <w:spacing w:beforeAutospacing="0" w:before="0" w:afterAutospacing="0" w:after="0"/>
        <w:jc w:val="center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>12 февраля 2026 года</w:t>
      </w:r>
    </w:p>
    <w:p>
      <w:pPr>
        <w:pStyle w:val="NormalWeb"/>
        <w:spacing w:beforeAutospacing="0" w:before="0" w:afterAutospacing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a4"/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3"/>
        <w:gridCol w:w="7189"/>
        <w:gridCol w:w="1841"/>
      </w:tblGrid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№ </w:t>
            </w:r>
            <w:r>
              <w:rPr>
                <w:kern w:val="0"/>
                <w:lang w:val="ru-RU" w:bidi="ar-SA"/>
              </w:rPr>
              <w:t>п/п</w:t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Участник конкурса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lang w:val="tt-RU"/>
              </w:rPr>
            </w:pPr>
            <w:r>
              <w:rPr>
                <w:kern w:val="0"/>
                <w:lang w:val="tt-RU" w:bidi="ar-SA"/>
              </w:rPr>
              <w:t>Время защиты проекта</w:t>
            </w:r>
          </w:p>
        </w:tc>
      </w:tr>
      <w:tr>
        <w:trPr>
          <w:trHeight w:val="50" w:hRule="atLeast"/>
        </w:trPr>
        <w:tc>
          <w:tcPr>
            <w:tcW w:w="9623" w:type="dxa"/>
            <w:gridSpan w:val="3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left" w:pos="3460" w:leader="none"/>
                <w:tab w:val="center" w:pos="4708" w:leader="none"/>
              </w:tabs>
              <w:suppressAutoHyphens w:val="true"/>
              <w:spacing w:beforeAutospacing="0" w:before="0" w:afterAutospacing="0" w:after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kern w:val="0"/>
                <w:sz w:val="27"/>
                <w:szCs w:val="27"/>
                <w:lang w:val="ru-RU" w:bidi="ar-SA"/>
              </w:rPr>
              <w:t>Коммерческие организации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bidi="ar-SA"/>
              </w:rPr>
              <w:t>АО «Актанышское хлебоприемное предприятие»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.00 – 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.07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val="ru-RU" w:bidi="ar-SA"/>
              </w:rPr>
              <w:t>ООО «Газпром трансгаз Казань»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.07 – 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.14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bidi="ar-SA"/>
              </w:rPr>
              <w:t>АО «Головное племенное предприятие «Элита»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.14 – 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.21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bidi="ar-SA"/>
              </w:rPr>
              <w:t>МУП «Метроэлектротранс» г. Казани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.21 – 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.28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bidi="ar-SA"/>
              </w:rPr>
              <w:t>АО «Холдинговая компания «Ак Барс»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.28 – 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.35</w:t>
            </w:r>
          </w:p>
        </w:tc>
      </w:tr>
      <w:tr>
        <w:trPr/>
        <w:tc>
          <w:tcPr>
            <w:tcW w:w="9623" w:type="dxa"/>
            <w:gridSpan w:val="3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color w:val="C9211E"/>
                <w:kern w:val="0"/>
                <w:lang w:val="ru-RU" w:bidi="ar-SA"/>
              </w:rPr>
            </w:pPr>
            <w:r>
              <w:rPr>
                <w:b/>
                <w:sz w:val="27"/>
                <w:szCs w:val="27"/>
              </w:rPr>
              <w:t>Некоммерческие организации</w:t>
            </w:r>
          </w:p>
        </w:tc>
      </w:tr>
      <w:tr>
        <w:trPr/>
        <w:tc>
          <w:tcPr>
            <w:tcW w:w="593" w:type="dxa"/>
            <w:tcBorders>
              <w:top w:val="nil"/>
            </w:tcBorders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" w:cstheme="minorBid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" w:ascii="Times New Roman" w:hAnsi="Times New Roman" w:cstheme="minorBidi"/>
                <w:sz w:val="28"/>
                <w:szCs w:val="28"/>
                <w:shd w:fill="auto" w:val="clear"/>
              </w:rPr>
              <w:t>ГАПОУ «Актанышский технологический техникум»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.35 – 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.42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ГАПОУ «Мензелинский педагогический колледж им. М. Джалиля»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.42 – 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.49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ГАУЗ «Альметьевская центральная районная больница» РТ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.49 – 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.56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" w:ascii="Times New Roman" w:hAnsi="Times New Roman" w:cstheme="minorBidi"/>
                <w:sz w:val="28"/>
                <w:szCs w:val="28"/>
                <w:shd w:fill="auto" w:val="clear"/>
              </w:rPr>
              <w:t>МБУ ДО «Центр внешкольной работы Зеленодольского муниципального района РТ»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3</w:t>
            </w:r>
            <w:r>
              <w:rPr>
                <w:kern w:val="0"/>
                <w:sz w:val="27"/>
                <w:szCs w:val="27"/>
                <w:lang w:val="ru-RU" w:bidi="ar-SA"/>
              </w:rPr>
              <w:t>.56 – 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.03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" w:ascii="Times New Roman" w:hAnsi="Times New Roman" w:cstheme="minorBidi"/>
                <w:b w:val="false"/>
                <w:bCs w:val="false"/>
                <w:strike w:val="false"/>
                <w:dstrike w:val="false"/>
                <w:color w:val="000000"/>
                <w:kern w:val="0"/>
                <w:sz w:val="28"/>
                <w:szCs w:val="28"/>
                <w:u w:val="none"/>
                <w:effect w:val="none"/>
                <w:shd w:fill="auto" w:val="clear"/>
                <w:lang w:val="ru-RU" w:bidi="ar-SA"/>
              </w:rPr>
              <w:t>ГАУЗ «Госпиталь для ветеранов войн» г.Казани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.03 – 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.10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МКУ «Префектура «Старый город» Исполнительного комитета г. Казани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.10 – 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.17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 «Администрация Вахитовского и Приволжского районов Исполнительного комитета г. Казани»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.17 – 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.24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 «Управление жилищной политики г. Казани»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.24 – 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.31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МБОУ «Ново-Кырлайская средняя общеобразовательная школа им. Г. Тукая» </w:t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8"/>
                <w:szCs w:val="28"/>
                <w:u w:val="none"/>
                <w:shd w:fill="auto" w:val="clear"/>
              </w:rPr>
              <w:t>Арского муниципального района РТ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.31 – 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.38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val="ru-RU" w:bidi="ar-SA"/>
              </w:rPr>
              <w:t>ГБУ для детей-сирот и детей, оставшихся без попечения родителей «Чистопольский детский дом»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.38 – 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.45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ГАУЗ «Республиканская стоматологическая поликлиника Министерства здравоохранения РТ»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.45 – 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.52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МАУДО г. Набережные Челны «Спортивная школа «Строитель»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.52 – 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.59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МБОУ «Нижнекуюкская основная общеобразовательная школа» Атнинского муниципального района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4</w:t>
            </w:r>
            <w:r>
              <w:rPr>
                <w:kern w:val="0"/>
                <w:sz w:val="27"/>
                <w:szCs w:val="27"/>
                <w:lang w:val="ru-RU" w:bidi="ar-SA"/>
              </w:rPr>
              <w:t>.59 – 1</w:t>
            </w:r>
            <w:r>
              <w:rPr>
                <w:kern w:val="0"/>
                <w:sz w:val="27"/>
                <w:szCs w:val="27"/>
                <w:lang w:val="ru-RU" w:bidi="ar-SA"/>
              </w:rPr>
              <w:t>5</w:t>
            </w:r>
            <w:r>
              <w:rPr>
                <w:kern w:val="0"/>
                <w:sz w:val="27"/>
                <w:szCs w:val="27"/>
                <w:lang w:val="ru-RU" w:bidi="ar-SA"/>
              </w:rPr>
              <w:t>.06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 «Управление образования» Исполнительного комитета Арского муниципального района РТ</w:t>
            </w:r>
          </w:p>
        </w:tc>
        <w:tc>
          <w:tcPr>
            <w:tcW w:w="184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1</w:t>
            </w:r>
            <w:r>
              <w:rPr>
                <w:kern w:val="0"/>
                <w:sz w:val="27"/>
                <w:szCs w:val="27"/>
                <w:lang w:val="ru-RU" w:bidi="ar-SA"/>
              </w:rPr>
              <w:t>5</w:t>
            </w:r>
            <w:r>
              <w:rPr>
                <w:kern w:val="0"/>
                <w:sz w:val="27"/>
                <w:szCs w:val="27"/>
                <w:lang w:val="ru-RU" w:bidi="ar-SA"/>
              </w:rPr>
              <w:t>.06 – 1</w:t>
            </w:r>
            <w:r>
              <w:rPr>
                <w:kern w:val="0"/>
                <w:sz w:val="27"/>
                <w:szCs w:val="27"/>
                <w:lang w:val="ru-RU" w:bidi="ar-SA"/>
              </w:rPr>
              <w:t>5</w:t>
            </w:r>
            <w:r>
              <w:rPr>
                <w:kern w:val="0"/>
                <w:sz w:val="27"/>
                <w:szCs w:val="27"/>
                <w:lang w:val="ru-RU" w:bidi="ar-SA"/>
              </w:rPr>
              <w:t>.13</w:t>
            </w:r>
            <w:bookmarkStart w:id="0" w:name="_GoBack"/>
            <w:bookmarkEnd w:id="0"/>
          </w:p>
        </w:tc>
      </w:tr>
      <w:tr>
        <w:trPr/>
        <w:tc>
          <w:tcPr>
            <w:tcW w:w="593" w:type="dxa"/>
            <w:tcBorders>
              <w:top w:val="nil"/>
            </w:tcBorders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МАУДО г. Набережные Челны «Детская музыкальная школа № 2»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eastAsiaTheme="minorEastAsia"/>
                <w:sz w:val="27"/>
                <w:szCs w:val="27"/>
                <w:highlight w:val="none"/>
                <w:shd w:fill="auto" w:val="clear"/>
              </w:rPr>
            </w:pPr>
            <w:r>
              <w:rPr>
                <w:rFonts w:eastAsiaTheme="minorEastAsia"/>
                <w:sz w:val="27"/>
                <w:szCs w:val="27"/>
                <w:shd w:fill="auto" w:val="clear"/>
              </w:rPr>
              <w:t>15.13- 15.20</w:t>
            </w:r>
          </w:p>
        </w:tc>
      </w:tr>
      <w:tr>
        <w:trPr/>
        <w:tc>
          <w:tcPr>
            <w:tcW w:w="593" w:type="dxa"/>
            <w:tcBorders>
              <w:top w:val="nil"/>
            </w:tcBorders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ГБУ «Комплекс-52»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eastAsiaTheme="minorEastAsia"/>
                <w:sz w:val="27"/>
                <w:szCs w:val="27"/>
                <w:highlight w:val="none"/>
                <w:shd w:fill="auto" w:val="clear"/>
              </w:rPr>
            </w:pPr>
            <w:r>
              <w:rPr>
                <w:rFonts w:eastAsiaTheme="minorEastAsia"/>
                <w:sz w:val="27"/>
                <w:szCs w:val="27"/>
                <w:shd w:fill="auto" w:val="clear"/>
              </w:rPr>
              <w:t>15.20.-15.27</w:t>
            </w:r>
          </w:p>
        </w:tc>
      </w:tr>
      <w:tr>
        <w:trPr/>
        <w:tc>
          <w:tcPr>
            <w:tcW w:w="593" w:type="dxa"/>
            <w:tcBorders>
              <w:top w:val="nil"/>
            </w:tcBorders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uppressAutoHyphens w:val="true"/>
              <w:spacing w:beforeAutospacing="0" w:before="0" w:afterAutospacing="0" w:after="0"/>
              <w:ind w:left="0" w:hang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71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«Тюлячинский детский сад №3» Тюлячинского муниципального района РТ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eastAsiaTheme="minorEastAsia"/>
                <w:sz w:val="27"/>
                <w:szCs w:val="27"/>
                <w:highlight w:val="none"/>
                <w:shd w:fill="auto" w:val="clear"/>
              </w:rPr>
            </w:pPr>
            <w:r>
              <w:rPr>
                <w:rFonts w:eastAsiaTheme="minorEastAsia"/>
                <w:sz w:val="27"/>
                <w:szCs w:val="27"/>
                <w:shd w:fill="auto" w:val="clear"/>
              </w:rPr>
              <w:t>15.27 -15.34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/>
      </w:r>
    </w:p>
    <w:sectPr>
      <w:headerReference w:type="default" r:id="rId2"/>
      <w:type w:val="nextPage"/>
      <w:pgSz w:w="11906" w:h="16838"/>
      <w:pgMar w:left="1134" w:right="851" w:gutter="0" w:header="709" w:top="1134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2455117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6f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宋体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a75469"/>
    <w:rPr>
      <w:rFonts w:ascii="Segoe UI" w:hAnsi="Segoe UI" w:eastAsia="宋体" w:cs="Segoe UI" w:eastAsiaTheme="minorEastAsia"/>
      <w:sz w:val="18"/>
      <w:szCs w:val="18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104fbf"/>
    <w:rPr>
      <w:rFonts w:eastAsia="宋体" w:eastAsiaTheme="minorEastAsia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104fbf"/>
    <w:rPr>
      <w:rFonts w:eastAsia="宋体" w:eastAsiaTheme="minorEastAsia"/>
      <w:lang w:eastAsia="ru-RU"/>
    </w:rPr>
  </w:style>
  <w:style w:type="character" w:styleId="Hyperlink">
    <w:name w:val="Hyperlink"/>
    <w:rPr>
      <w:color w:val="0000FF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c66f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2" w:customStyle="1">
    <w:name w:val="Без интервала2"/>
    <w:basedOn w:val="Normal"/>
    <w:uiPriority w:val="99"/>
    <w:qFormat/>
    <w:rsid w:val="00c66fb2"/>
    <w:pPr>
      <w:spacing w:lineRule="auto" w:line="240" w:before="0" w:after="0"/>
    </w:pPr>
    <w:rPr>
      <w:rFonts w:ascii="Calibri" w:hAnsi="Calibri" w:eastAsia="Times New Roman" w:cs="Times New Roman"/>
      <w:sz w:val="24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f8128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a7546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104f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104f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66fb2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2D33-5AC1-48B4-9758-88B4E7CB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AlterOffice/3.4.0.5$Linux_X86_64 LibreOffice_project/42a56b0e8fd994740b90ec49d38dce7d78d7a7e4</Application>
  <AppVersion>15.0000</AppVersion>
  <Pages>2</Pages>
  <Words>289</Words>
  <Characters>2023</Characters>
  <CharactersWithSpaces>2257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2023-04-05T05:47:00Z</dcterms:created>
  <dc:creator>USER-301</dc:creator>
  <dc:description/>
  <dc:language>ru-RU</dc:language>
  <cp:lastModifiedBy>orad-3</cp:lastModifiedBy>
  <cp:lastPrinted>2026-02-05T13:42:00Z</cp:lastPrinted>
  <dcterms:modified xsi:type="dcterms:W3CDTF">2026-02-05T13:46:27Z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