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DCD8D" w14:textId="77777777" w:rsidR="00EF6625" w:rsidRPr="002F448E" w:rsidRDefault="00EF6625" w:rsidP="00EF6625">
      <w:pPr>
        <w:keepNext/>
        <w:autoSpaceDE/>
        <w:autoSpaceDN/>
        <w:spacing w:line="276" w:lineRule="auto"/>
        <w:jc w:val="center"/>
        <w:outlineLvl w:val="4"/>
        <w:rPr>
          <w:b/>
          <w:sz w:val="28"/>
          <w:szCs w:val="28"/>
        </w:rPr>
      </w:pPr>
    </w:p>
    <w:tbl>
      <w:tblPr>
        <w:tblStyle w:val="aa"/>
        <w:tblW w:w="1101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  <w:gridCol w:w="238"/>
      </w:tblGrid>
      <w:tr w:rsidR="009D58FB" w:rsidRPr="002F448E" w14:paraId="529D1816" w14:textId="77777777" w:rsidTr="009C16A1">
        <w:trPr>
          <w:trHeight w:val="1731"/>
        </w:trPr>
        <w:tc>
          <w:tcPr>
            <w:tcW w:w="10774" w:type="dxa"/>
            <w:hideMark/>
          </w:tcPr>
          <w:p w14:paraId="536AA912" w14:textId="77777777" w:rsidR="007B4CD8" w:rsidRPr="002F448E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3A820EE" w14:textId="77777777" w:rsidR="007B4CD8" w:rsidRPr="002F448E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945A572" w14:textId="77777777" w:rsidR="007B4CD8" w:rsidRPr="002F448E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4212C4C1" w14:textId="77777777" w:rsidR="007B4CD8" w:rsidRPr="002F448E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1404953E" w14:textId="77777777" w:rsidR="007B4CD8" w:rsidRPr="002F448E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78E2657B" w14:textId="77777777" w:rsidR="007B4CD8" w:rsidRPr="002F448E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08FB1C52" w14:textId="0F602838" w:rsidR="007B4CD8" w:rsidRPr="002F448E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76F3AECD" w14:textId="77777777" w:rsidR="003F0944" w:rsidRPr="002F448E" w:rsidRDefault="003F0944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2D726207" w14:textId="0DE46326" w:rsidR="007B4CD8" w:rsidRPr="002F448E" w:rsidRDefault="007B4CD8" w:rsidP="00C212C7">
            <w:pPr>
              <w:spacing w:line="276" w:lineRule="auto"/>
              <w:ind w:left="-397" w:right="-67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3C4F2AC2" w14:textId="2696AE96" w:rsidR="009D58FB" w:rsidRPr="002F448E" w:rsidRDefault="00B5321D" w:rsidP="00E76159">
            <w:pPr>
              <w:spacing w:line="276" w:lineRule="auto"/>
              <w:ind w:left="457" w:right="5425"/>
              <w:jc w:val="both"/>
              <w:rPr>
                <w:sz w:val="28"/>
                <w:szCs w:val="28"/>
                <w:lang w:eastAsia="en-US"/>
              </w:rPr>
            </w:pPr>
            <w:r w:rsidRPr="002F448E">
              <w:rPr>
                <w:sz w:val="28"/>
                <w:szCs w:val="28"/>
                <w:lang w:eastAsia="en-US"/>
              </w:rPr>
              <w:t xml:space="preserve">О </w:t>
            </w:r>
            <w:r w:rsidR="00C212C7" w:rsidRPr="002F448E">
              <w:rPr>
                <w:sz w:val="28"/>
                <w:szCs w:val="28"/>
                <w:lang w:eastAsia="en-US"/>
              </w:rPr>
              <w:t>внесении изменени</w:t>
            </w:r>
            <w:r w:rsidR="00E76159">
              <w:rPr>
                <w:sz w:val="28"/>
                <w:szCs w:val="28"/>
                <w:lang w:eastAsia="en-US"/>
              </w:rPr>
              <w:t>й</w:t>
            </w:r>
            <w:bookmarkStart w:id="0" w:name="_GoBack"/>
            <w:bookmarkEnd w:id="0"/>
            <w:r w:rsidR="001E51BC" w:rsidRPr="002F448E">
              <w:rPr>
                <w:sz w:val="28"/>
                <w:szCs w:val="28"/>
                <w:lang w:eastAsia="en-US"/>
              </w:rPr>
              <w:t xml:space="preserve"> в приказ от</w:t>
            </w:r>
            <w:r w:rsidR="001E51BC" w:rsidRPr="002F448E">
              <w:rPr>
                <w:sz w:val="28"/>
                <w:szCs w:val="28"/>
              </w:rPr>
              <w:t xml:space="preserve"> 08.06.2016 </w:t>
            </w:r>
            <w:r w:rsidR="00141584" w:rsidRPr="002F448E">
              <w:rPr>
                <w:sz w:val="28"/>
                <w:szCs w:val="28"/>
              </w:rPr>
              <w:t>№</w:t>
            </w:r>
            <w:r w:rsidR="001E51BC" w:rsidRPr="002F448E">
              <w:rPr>
                <w:sz w:val="28"/>
                <w:szCs w:val="28"/>
              </w:rPr>
              <w:t xml:space="preserve"> 050-ОД</w:t>
            </w:r>
            <w:r w:rsidR="001E51BC" w:rsidRPr="002F448E">
              <w:rPr>
                <w:sz w:val="28"/>
                <w:szCs w:val="28"/>
                <w:lang w:eastAsia="en-US"/>
              </w:rPr>
              <w:t xml:space="preserve"> </w:t>
            </w:r>
            <w:r w:rsidR="001E51BC" w:rsidRPr="002F448E">
              <w:rPr>
                <w:rFonts w:eastAsiaTheme="minorHAnsi"/>
                <w:sz w:val="28"/>
                <w:szCs w:val="28"/>
                <w:lang w:eastAsia="en-US"/>
              </w:rPr>
              <w:t xml:space="preserve">«Об утверждении типовых административных регламентов предоставления государственных услуг, осуществляемых муниципальными архивами Республики Татарстан» </w:t>
            </w:r>
          </w:p>
        </w:tc>
        <w:tc>
          <w:tcPr>
            <w:tcW w:w="238" w:type="dxa"/>
          </w:tcPr>
          <w:p w14:paraId="44282195" w14:textId="77777777" w:rsidR="009D58FB" w:rsidRPr="002F448E" w:rsidRDefault="009D58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23036336" w14:textId="06ED470D" w:rsidR="007B4CD8" w:rsidRPr="002F448E" w:rsidRDefault="007B4CD8" w:rsidP="009D58FB">
      <w:pPr>
        <w:ind w:firstLine="709"/>
        <w:jc w:val="both"/>
        <w:rPr>
          <w:sz w:val="28"/>
          <w:szCs w:val="28"/>
        </w:rPr>
      </w:pPr>
    </w:p>
    <w:p w14:paraId="57CB6F19" w14:textId="77777777" w:rsidR="009C16A1" w:rsidRPr="002F448E" w:rsidRDefault="009C16A1" w:rsidP="00BA6361">
      <w:pPr>
        <w:spacing w:line="271" w:lineRule="auto"/>
        <w:ind w:firstLine="709"/>
        <w:jc w:val="both"/>
        <w:rPr>
          <w:sz w:val="28"/>
          <w:szCs w:val="28"/>
        </w:rPr>
      </w:pPr>
    </w:p>
    <w:p w14:paraId="5DF42D7F" w14:textId="6EB8007C" w:rsidR="003F0944" w:rsidRPr="002F448E" w:rsidRDefault="00C7222B" w:rsidP="00BA6361">
      <w:pPr>
        <w:spacing w:line="271" w:lineRule="auto"/>
        <w:ind w:right="282" w:firstLine="709"/>
        <w:jc w:val="both"/>
        <w:rPr>
          <w:sz w:val="28"/>
          <w:szCs w:val="28"/>
        </w:rPr>
      </w:pPr>
      <w:r w:rsidRPr="002F448E">
        <w:rPr>
          <w:sz w:val="28"/>
          <w:szCs w:val="28"/>
        </w:rPr>
        <w:t xml:space="preserve">1. </w:t>
      </w:r>
      <w:r w:rsidR="000303D2" w:rsidRPr="002F448E">
        <w:rPr>
          <w:sz w:val="28"/>
          <w:szCs w:val="28"/>
        </w:rPr>
        <w:t>В</w:t>
      </w:r>
      <w:r w:rsidR="00C212C7" w:rsidRPr="002F448E">
        <w:rPr>
          <w:sz w:val="28"/>
          <w:szCs w:val="28"/>
        </w:rPr>
        <w:t xml:space="preserve">нести </w:t>
      </w:r>
      <w:r w:rsidRPr="002F448E">
        <w:rPr>
          <w:sz w:val="28"/>
          <w:szCs w:val="28"/>
        </w:rPr>
        <w:t xml:space="preserve">в приказ от </w:t>
      </w:r>
      <w:r w:rsidR="001E51BC" w:rsidRPr="002F448E">
        <w:rPr>
          <w:sz w:val="28"/>
          <w:szCs w:val="28"/>
        </w:rPr>
        <w:t xml:space="preserve">08.06.2016 </w:t>
      </w:r>
      <w:r w:rsidR="00141584" w:rsidRPr="002F448E">
        <w:rPr>
          <w:sz w:val="28"/>
          <w:szCs w:val="28"/>
        </w:rPr>
        <w:t>№</w:t>
      </w:r>
      <w:r w:rsidR="001E51BC" w:rsidRPr="002F448E">
        <w:rPr>
          <w:sz w:val="28"/>
          <w:szCs w:val="28"/>
        </w:rPr>
        <w:t xml:space="preserve"> 050-ОД</w:t>
      </w:r>
      <w:r w:rsidRPr="002F448E">
        <w:rPr>
          <w:sz w:val="28"/>
          <w:szCs w:val="28"/>
        </w:rPr>
        <w:t xml:space="preserve"> «</w:t>
      </w:r>
      <w:r w:rsidR="001E51BC" w:rsidRPr="002F448E">
        <w:rPr>
          <w:rFonts w:eastAsiaTheme="minorHAnsi"/>
          <w:sz w:val="28"/>
          <w:szCs w:val="28"/>
          <w:lang w:eastAsia="en-US"/>
        </w:rPr>
        <w:t>Об утверждении типовых административных регламентов предоставления государственных услуг, осуществляемых муниципальными архивами Республики Татарстан»</w:t>
      </w:r>
      <w:r w:rsidR="001E51BC" w:rsidRPr="002F448E">
        <w:rPr>
          <w:sz w:val="28"/>
          <w:szCs w:val="28"/>
        </w:rPr>
        <w:t xml:space="preserve"> следующие</w:t>
      </w:r>
      <w:r w:rsidR="00C212C7" w:rsidRPr="002F448E">
        <w:rPr>
          <w:sz w:val="28"/>
          <w:szCs w:val="28"/>
        </w:rPr>
        <w:t xml:space="preserve"> изменени</w:t>
      </w:r>
      <w:r w:rsidR="001E51BC" w:rsidRPr="002F448E">
        <w:rPr>
          <w:sz w:val="28"/>
          <w:szCs w:val="28"/>
        </w:rPr>
        <w:t>я</w:t>
      </w:r>
      <w:r w:rsidR="003F0944" w:rsidRPr="002F448E">
        <w:rPr>
          <w:sz w:val="28"/>
          <w:szCs w:val="28"/>
        </w:rPr>
        <w:t>:</w:t>
      </w:r>
    </w:p>
    <w:p w14:paraId="4D97FE93" w14:textId="77777777" w:rsidR="001B6540" w:rsidRPr="002F448E" w:rsidRDefault="001B6540" w:rsidP="00BA6361">
      <w:pPr>
        <w:spacing w:line="271" w:lineRule="auto"/>
        <w:ind w:right="282" w:firstLine="709"/>
        <w:jc w:val="both"/>
        <w:rPr>
          <w:sz w:val="28"/>
          <w:szCs w:val="28"/>
        </w:rPr>
      </w:pPr>
      <w:r w:rsidRPr="002F448E">
        <w:rPr>
          <w:sz w:val="28"/>
          <w:szCs w:val="28"/>
        </w:rPr>
        <w:t xml:space="preserve">преамбулу изложить в следующей редакции: </w:t>
      </w:r>
    </w:p>
    <w:p w14:paraId="23F78571" w14:textId="52C03936" w:rsidR="001B6540" w:rsidRPr="002F448E" w:rsidRDefault="001B6540" w:rsidP="00BA6361">
      <w:pPr>
        <w:spacing w:line="271" w:lineRule="auto"/>
        <w:ind w:right="282" w:firstLine="709"/>
        <w:jc w:val="both"/>
        <w:rPr>
          <w:sz w:val="28"/>
          <w:szCs w:val="28"/>
        </w:rPr>
      </w:pPr>
      <w:r w:rsidRPr="002F448E">
        <w:rPr>
          <w:sz w:val="28"/>
          <w:szCs w:val="28"/>
        </w:rPr>
        <w:t>«В соответствии с Федеральным законом от 27 июля 2010 года № 210-ФЗ "Об организации предоставления государственных и муниципальных услуг", постановлением Кабинета Министров Республики Татарстан от 28 февраля 2022 года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Татарстан»;</w:t>
      </w:r>
    </w:p>
    <w:p w14:paraId="0389B86F" w14:textId="335FA329" w:rsidR="00E84B67" w:rsidRPr="002F448E" w:rsidRDefault="00E84B67" w:rsidP="00BA6361">
      <w:pPr>
        <w:spacing w:line="271" w:lineRule="auto"/>
        <w:ind w:right="282" w:firstLine="709"/>
        <w:jc w:val="both"/>
        <w:rPr>
          <w:sz w:val="28"/>
          <w:szCs w:val="28"/>
        </w:rPr>
      </w:pPr>
      <w:r w:rsidRPr="002F448E">
        <w:rPr>
          <w:sz w:val="28"/>
          <w:szCs w:val="28"/>
        </w:rPr>
        <w:t>слова «государственной услуги» заменить словами «государственной или муниципальной услуги»</w:t>
      </w:r>
      <w:r w:rsidR="001B6540" w:rsidRPr="002F448E">
        <w:rPr>
          <w:sz w:val="28"/>
          <w:szCs w:val="28"/>
        </w:rPr>
        <w:t>;</w:t>
      </w:r>
    </w:p>
    <w:p w14:paraId="18D0DA77" w14:textId="70960432" w:rsidR="00E84B67" w:rsidRPr="002F448E" w:rsidRDefault="00E84B67" w:rsidP="00BA6361">
      <w:pPr>
        <w:spacing w:line="271" w:lineRule="auto"/>
        <w:ind w:right="282" w:firstLine="709"/>
        <w:jc w:val="both"/>
        <w:rPr>
          <w:sz w:val="28"/>
          <w:szCs w:val="28"/>
        </w:rPr>
      </w:pPr>
      <w:r w:rsidRPr="002F448E">
        <w:rPr>
          <w:sz w:val="28"/>
          <w:szCs w:val="28"/>
        </w:rPr>
        <w:t>слова «Исполкома, предоставляющего государственн</w:t>
      </w:r>
      <w:r w:rsidR="00881A7A">
        <w:rPr>
          <w:sz w:val="28"/>
          <w:szCs w:val="28"/>
        </w:rPr>
        <w:t>ую</w:t>
      </w:r>
      <w:r w:rsidRPr="002F448E">
        <w:rPr>
          <w:sz w:val="28"/>
          <w:szCs w:val="28"/>
        </w:rPr>
        <w:t xml:space="preserve"> услуг</w:t>
      </w:r>
      <w:r w:rsidR="00881A7A">
        <w:rPr>
          <w:sz w:val="28"/>
          <w:szCs w:val="28"/>
        </w:rPr>
        <w:t>у</w:t>
      </w:r>
      <w:r w:rsidRPr="002F448E">
        <w:rPr>
          <w:sz w:val="28"/>
          <w:szCs w:val="28"/>
        </w:rPr>
        <w:t>» заменить словами «органа, предоставляющего государственную</w:t>
      </w:r>
      <w:r w:rsidR="00E47E14">
        <w:rPr>
          <w:sz w:val="28"/>
          <w:szCs w:val="28"/>
        </w:rPr>
        <w:t xml:space="preserve"> или муниципальную</w:t>
      </w:r>
      <w:r w:rsidRPr="002F448E">
        <w:rPr>
          <w:sz w:val="28"/>
          <w:szCs w:val="28"/>
        </w:rPr>
        <w:t xml:space="preserve"> услугу»</w:t>
      </w:r>
      <w:r w:rsidR="001B6540" w:rsidRPr="002F448E">
        <w:rPr>
          <w:sz w:val="28"/>
          <w:szCs w:val="28"/>
        </w:rPr>
        <w:t>;</w:t>
      </w:r>
    </w:p>
    <w:p w14:paraId="35B6E9D2" w14:textId="67014CF5" w:rsidR="00530084" w:rsidRPr="002F448E" w:rsidRDefault="00530084" w:rsidP="00BA6361">
      <w:pPr>
        <w:pStyle w:val="headertext"/>
        <w:spacing w:before="0" w:beforeAutospacing="0" w:after="0" w:afterAutospacing="0" w:line="271" w:lineRule="auto"/>
        <w:ind w:right="282"/>
        <w:jc w:val="both"/>
        <w:rPr>
          <w:bCs/>
          <w:sz w:val="28"/>
          <w:szCs w:val="28"/>
        </w:rPr>
      </w:pPr>
      <w:r w:rsidRPr="002F448E">
        <w:rPr>
          <w:sz w:val="28"/>
          <w:szCs w:val="28"/>
        </w:rPr>
        <w:tab/>
        <w:t xml:space="preserve">в Типовом </w:t>
      </w:r>
      <w:r w:rsidRPr="002F448E">
        <w:rPr>
          <w:bCs/>
          <w:sz w:val="28"/>
          <w:szCs w:val="28"/>
        </w:rPr>
        <w:t xml:space="preserve">административном регламенте предоставления государственной услуги по выдаче архивных справок, архивных выписок, копий архивных </w:t>
      </w:r>
      <w:r w:rsidRPr="002F448E">
        <w:rPr>
          <w:bCs/>
          <w:sz w:val="28"/>
          <w:szCs w:val="28"/>
        </w:rPr>
        <w:lastRenderedPageBreak/>
        <w:t>документов по архивным фондам, отнесенным к государственной собственности и хранящимся в муниципальном архиве:</w:t>
      </w:r>
    </w:p>
    <w:p w14:paraId="4D8C71B1" w14:textId="4C1C9708" w:rsidR="00E4012D" w:rsidRDefault="00530084" w:rsidP="00BA6361">
      <w:pPr>
        <w:pStyle w:val="headertext"/>
        <w:spacing w:before="0" w:beforeAutospacing="0" w:after="0" w:afterAutospacing="0" w:line="271" w:lineRule="auto"/>
        <w:ind w:right="284"/>
        <w:jc w:val="both"/>
        <w:rPr>
          <w:sz w:val="28"/>
          <w:szCs w:val="28"/>
        </w:rPr>
      </w:pPr>
      <w:r w:rsidRPr="002F448E">
        <w:rPr>
          <w:sz w:val="28"/>
          <w:szCs w:val="28"/>
        </w:rPr>
        <w:tab/>
      </w:r>
      <w:r w:rsidR="00077130" w:rsidRPr="002F448E">
        <w:rPr>
          <w:sz w:val="28"/>
          <w:szCs w:val="28"/>
        </w:rPr>
        <w:t xml:space="preserve">в </w:t>
      </w:r>
      <w:r w:rsidRPr="002F448E">
        <w:rPr>
          <w:sz w:val="28"/>
          <w:szCs w:val="28"/>
        </w:rPr>
        <w:t>абзац</w:t>
      </w:r>
      <w:r w:rsidR="00077130" w:rsidRPr="002F448E">
        <w:rPr>
          <w:sz w:val="28"/>
          <w:szCs w:val="28"/>
        </w:rPr>
        <w:t>е</w:t>
      </w:r>
      <w:r w:rsidRPr="002F448E">
        <w:rPr>
          <w:sz w:val="28"/>
          <w:szCs w:val="28"/>
        </w:rPr>
        <w:t xml:space="preserve"> </w:t>
      </w:r>
      <w:r w:rsidR="00CF5E51">
        <w:rPr>
          <w:sz w:val="28"/>
          <w:szCs w:val="28"/>
        </w:rPr>
        <w:t>9</w:t>
      </w:r>
      <w:r w:rsidRPr="002F448E">
        <w:rPr>
          <w:sz w:val="28"/>
          <w:szCs w:val="28"/>
        </w:rPr>
        <w:t xml:space="preserve"> пункта 1.4 </w:t>
      </w:r>
      <w:r w:rsidR="00E4012D">
        <w:rPr>
          <w:sz w:val="28"/>
          <w:szCs w:val="28"/>
        </w:rPr>
        <w:t>изложить в следующей редакции:</w:t>
      </w:r>
    </w:p>
    <w:p w14:paraId="44A79AA0" w14:textId="216D6CEF" w:rsidR="00530084" w:rsidRPr="002F448E" w:rsidRDefault="00E4012D" w:rsidP="00BA6361">
      <w:pPr>
        <w:pStyle w:val="headertext"/>
        <w:spacing w:before="0" w:beforeAutospacing="0" w:after="0" w:afterAutospacing="0" w:line="271" w:lineRule="auto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084" w:rsidRPr="002F448E">
        <w:rPr>
          <w:sz w:val="28"/>
          <w:szCs w:val="28"/>
        </w:rPr>
        <w:t>«Приказ Федерального архивного агенства от 02.03.2020 №</w:t>
      </w:r>
      <w:r w:rsidR="00077130" w:rsidRPr="002F448E">
        <w:rPr>
          <w:sz w:val="28"/>
          <w:szCs w:val="28"/>
        </w:rPr>
        <w:t xml:space="preserve"> </w:t>
      </w:r>
      <w:r w:rsidR="00530084" w:rsidRPr="002F448E">
        <w:rPr>
          <w:sz w:val="28"/>
          <w:szCs w:val="28"/>
        </w:rPr>
        <w:t>24 «</w:t>
      </w:r>
      <w:r w:rsidR="00077130" w:rsidRPr="002F448E">
        <w:rPr>
          <w:sz w:val="28"/>
          <w:szCs w:val="28"/>
        </w:rPr>
        <w:t xml:space="preserve">Об утверждении </w:t>
      </w:r>
      <w:r w:rsidR="0067214E" w:rsidRPr="002F448E">
        <w:rPr>
          <w:sz w:val="28"/>
          <w:szCs w:val="28"/>
        </w:rPr>
        <w:t>П</w:t>
      </w:r>
      <w:r w:rsidR="00077130" w:rsidRPr="002F448E">
        <w:rPr>
          <w:sz w:val="28"/>
          <w:szCs w:val="28"/>
        </w:rPr>
        <w:t xml:space="preserve">равил организации хранения, комплектования, учета и использования документов </w:t>
      </w:r>
      <w:r w:rsidR="0067214E" w:rsidRPr="002F448E">
        <w:rPr>
          <w:sz w:val="28"/>
          <w:szCs w:val="28"/>
        </w:rPr>
        <w:t>А</w:t>
      </w:r>
      <w:r w:rsidR="00077130" w:rsidRPr="002F448E">
        <w:rPr>
          <w:sz w:val="28"/>
          <w:szCs w:val="28"/>
        </w:rPr>
        <w:t>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организациях»;</w:t>
      </w:r>
    </w:p>
    <w:p w14:paraId="1B463326" w14:textId="235C4151" w:rsidR="002F448E" w:rsidRPr="002F448E" w:rsidRDefault="00F927CC" w:rsidP="00BA6361">
      <w:pPr>
        <w:pStyle w:val="headertext"/>
        <w:spacing w:before="0" w:beforeAutospacing="0" w:after="0" w:afterAutospacing="0" w:line="271" w:lineRule="auto"/>
        <w:ind w:right="284"/>
        <w:jc w:val="both"/>
        <w:rPr>
          <w:sz w:val="28"/>
          <w:szCs w:val="28"/>
        </w:rPr>
      </w:pPr>
      <w:r w:rsidRPr="002F448E">
        <w:rPr>
          <w:sz w:val="28"/>
          <w:szCs w:val="28"/>
        </w:rPr>
        <w:tab/>
      </w:r>
      <w:r w:rsidR="00771D31" w:rsidRPr="002F448E">
        <w:rPr>
          <w:sz w:val="28"/>
          <w:szCs w:val="28"/>
        </w:rPr>
        <w:t xml:space="preserve">абзац </w:t>
      </w:r>
      <w:r w:rsidR="00CF5E51">
        <w:rPr>
          <w:sz w:val="28"/>
          <w:szCs w:val="28"/>
        </w:rPr>
        <w:t>10</w:t>
      </w:r>
      <w:r w:rsidR="00771D31" w:rsidRPr="002F448E">
        <w:rPr>
          <w:sz w:val="28"/>
          <w:szCs w:val="28"/>
        </w:rPr>
        <w:t xml:space="preserve"> пункта 1.4 исключить;</w:t>
      </w:r>
    </w:p>
    <w:p w14:paraId="3DCCE3BF" w14:textId="3262B255" w:rsidR="009D58FB" w:rsidRPr="002F448E" w:rsidRDefault="001E51BC" w:rsidP="00BA6361">
      <w:pPr>
        <w:spacing w:line="271" w:lineRule="auto"/>
        <w:ind w:right="282" w:firstLine="709"/>
        <w:jc w:val="both"/>
        <w:rPr>
          <w:sz w:val="28"/>
          <w:szCs w:val="28"/>
        </w:rPr>
      </w:pPr>
      <w:r w:rsidRPr="002F448E">
        <w:rPr>
          <w:sz w:val="28"/>
          <w:szCs w:val="28"/>
        </w:rPr>
        <w:t>под</w:t>
      </w:r>
      <w:r w:rsidR="00C7222B" w:rsidRPr="002F448E">
        <w:rPr>
          <w:sz w:val="28"/>
          <w:szCs w:val="28"/>
        </w:rPr>
        <w:t xml:space="preserve">пункт </w:t>
      </w:r>
      <w:r w:rsidRPr="002F448E">
        <w:rPr>
          <w:sz w:val="28"/>
          <w:szCs w:val="28"/>
        </w:rPr>
        <w:t xml:space="preserve">2 пункта 5.6 </w:t>
      </w:r>
      <w:r w:rsidR="003F0944" w:rsidRPr="002F448E">
        <w:rPr>
          <w:sz w:val="28"/>
          <w:szCs w:val="28"/>
        </w:rPr>
        <w:t xml:space="preserve">изложить </w:t>
      </w:r>
      <w:r w:rsidR="00C7222B" w:rsidRPr="002F448E">
        <w:rPr>
          <w:sz w:val="28"/>
          <w:szCs w:val="28"/>
        </w:rPr>
        <w:t>в следующей редакции</w:t>
      </w:r>
      <w:r w:rsidR="009D58FB" w:rsidRPr="002F448E">
        <w:rPr>
          <w:sz w:val="28"/>
          <w:szCs w:val="28"/>
        </w:rPr>
        <w:t>:</w:t>
      </w:r>
    </w:p>
    <w:p w14:paraId="586EC108" w14:textId="305A84B1" w:rsidR="001E51BC" w:rsidRPr="002F448E" w:rsidRDefault="001E51BC" w:rsidP="00BA6361">
      <w:pPr>
        <w:pStyle w:val="formattext"/>
        <w:spacing w:before="0" w:beforeAutospacing="0" w:after="0" w:afterAutospacing="0" w:line="271" w:lineRule="auto"/>
        <w:ind w:right="282"/>
        <w:rPr>
          <w:sz w:val="28"/>
          <w:szCs w:val="28"/>
        </w:rPr>
      </w:pPr>
      <w:r w:rsidRPr="002F448E">
        <w:rPr>
          <w:sz w:val="28"/>
          <w:szCs w:val="28"/>
        </w:rPr>
        <w:tab/>
      </w:r>
      <w:r w:rsidR="00C7222B" w:rsidRPr="002F448E">
        <w:rPr>
          <w:sz w:val="28"/>
          <w:szCs w:val="28"/>
        </w:rPr>
        <w:t>«</w:t>
      </w:r>
      <w:r w:rsidR="003F0944" w:rsidRPr="002F448E">
        <w:rPr>
          <w:sz w:val="28"/>
          <w:szCs w:val="28"/>
        </w:rPr>
        <w:t>в</w:t>
      </w:r>
      <w:r w:rsidRPr="002F448E">
        <w:rPr>
          <w:sz w:val="28"/>
          <w:szCs w:val="28"/>
        </w:rPr>
        <w:t xml:space="preserve"> удовлетворении жалобы отказывается:</w:t>
      </w:r>
    </w:p>
    <w:p w14:paraId="00447A93" w14:textId="7384AEE8" w:rsidR="001E51BC" w:rsidRPr="002F448E" w:rsidRDefault="001E51BC" w:rsidP="00BA6361">
      <w:pPr>
        <w:spacing w:line="271" w:lineRule="auto"/>
        <w:ind w:right="282" w:firstLine="482"/>
        <w:jc w:val="both"/>
        <w:rPr>
          <w:sz w:val="28"/>
          <w:szCs w:val="28"/>
        </w:rPr>
      </w:pPr>
      <w:r w:rsidRPr="002F448E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675E1F5" w14:textId="09659921" w:rsidR="001E51BC" w:rsidRPr="002F448E" w:rsidRDefault="001E51BC" w:rsidP="00BA6361">
      <w:pPr>
        <w:spacing w:line="271" w:lineRule="auto"/>
        <w:ind w:right="282" w:firstLine="482"/>
        <w:jc w:val="both"/>
        <w:rPr>
          <w:sz w:val="28"/>
          <w:szCs w:val="28"/>
        </w:rPr>
      </w:pPr>
      <w:r w:rsidRPr="002F448E">
        <w:rPr>
          <w:sz w:val="28"/>
          <w:szCs w:val="28"/>
        </w:rPr>
        <w:t xml:space="preserve"> 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 </w:t>
      </w:r>
    </w:p>
    <w:p w14:paraId="22344293" w14:textId="25839D9A" w:rsidR="00223832" w:rsidRPr="002F448E" w:rsidRDefault="001E51BC" w:rsidP="00BA6361">
      <w:pPr>
        <w:spacing w:line="271" w:lineRule="auto"/>
        <w:ind w:right="282" w:firstLine="482"/>
        <w:jc w:val="both"/>
        <w:rPr>
          <w:sz w:val="28"/>
          <w:szCs w:val="28"/>
        </w:rPr>
      </w:pPr>
      <w:bookmarkStart w:id="1" w:name="P003A"/>
      <w:bookmarkEnd w:id="1"/>
      <w:r w:rsidRPr="002F448E">
        <w:rPr>
          <w:sz w:val="28"/>
          <w:szCs w:val="28"/>
        </w:rPr>
        <w:t xml:space="preserve">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14:paraId="7EE9370F" w14:textId="370D45AE" w:rsidR="004A608F" w:rsidRPr="002F448E" w:rsidRDefault="00131F2F" w:rsidP="00BA6361">
      <w:pPr>
        <w:spacing w:line="271" w:lineRule="auto"/>
        <w:ind w:right="282" w:firstLine="482"/>
        <w:jc w:val="both"/>
        <w:rPr>
          <w:sz w:val="28"/>
          <w:szCs w:val="28"/>
        </w:rPr>
      </w:pPr>
      <w:r w:rsidRPr="002F448E">
        <w:rPr>
          <w:sz w:val="28"/>
          <w:szCs w:val="28"/>
        </w:rPr>
        <w:t xml:space="preserve">в подпункте 3 </w:t>
      </w:r>
      <w:r w:rsidR="00E4012D">
        <w:rPr>
          <w:sz w:val="28"/>
          <w:szCs w:val="28"/>
        </w:rPr>
        <w:t xml:space="preserve">пункта </w:t>
      </w:r>
      <w:r w:rsidRPr="002F448E">
        <w:rPr>
          <w:sz w:val="28"/>
          <w:szCs w:val="28"/>
        </w:rPr>
        <w:t>5.6:</w:t>
      </w:r>
    </w:p>
    <w:p w14:paraId="384B2ED4" w14:textId="26264A8D" w:rsidR="00530084" w:rsidRPr="002F448E" w:rsidRDefault="004A608F" w:rsidP="00BA6361">
      <w:pPr>
        <w:spacing w:line="271" w:lineRule="auto"/>
        <w:ind w:right="282" w:firstLine="482"/>
        <w:jc w:val="both"/>
        <w:rPr>
          <w:sz w:val="28"/>
          <w:szCs w:val="28"/>
        </w:rPr>
      </w:pPr>
      <w:r w:rsidRPr="002F448E">
        <w:rPr>
          <w:sz w:val="28"/>
          <w:szCs w:val="28"/>
        </w:rPr>
        <w:t>слова "документов, не предусмотренных" заменить словами "документов или информации либо осуществления действий, представление или осуществ</w:t>
      </w:r>
      <w:r w:rsidR="002F448E" w:rsidRPr="002F448E">
        <w:rPr>
          <w:sz w:val="28"/>
          <w:szCs w:val="28"/>
        </w:rPr>
        <w:t>ление которых не предусмотрено";</w:t>
      </w:r>
    </w:p>
    <w:p w14:paraId="6870F747" w14:textId="71A93C0E" w:rsidR="002F448E" w:rsidRPr="00D403D8" w:rsidRDefault="00D403D8" w:rsidP="00BA6361">
      <w:pPr>
        <w:spacing w:line="271" w:lineRule="auto"/>
        <w:ind w:right="284" w:firstLine="48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D6FE3">
        <w:rPr>
          <w:bCs/>
          <w:sz w:val="28"/>
          <w:szCs w:val="28"/>
        </w:rPr>
        <w:t>В Т</w:t>
      </w:r>
      <w:r w:rsidR="0089279B">
        <w:rPr>
          <w:bCs/>
          <w:sz w:val="28"/>
          <w:szCs w:val="28"/>
        </w:rPr>
        <w:t>иповом административном регламенте 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</w:t>
      </w:r>
      <w:r w:rsidR="00776323" w:rsidRPr="0089279B">
        <w:rPr>
          <w:bCs/>
          <w:sz w:val="28"/>
          <w:szCs w:val="28"/>
        </w:rPr>
        <w:t>:</w:t>
      </w:r>
    </w:p>
    <w:p w14:paraId="20F65EFA" w14:textId="460AD952" w:rsidR="00776323" w:rsidRPr="002F448E" w:rsidRDefault="00776323" w:rsidP="00BA6361">
      <w:pPr>
        <w:spacing w:line="271" w:lineRule="auto"/>
        <w:ind w:right="284" w:firstLine="482"/>
        <w:jc w:val="both"/>
        <w:rPr>
          <w:bCs/>
          <w:sz w:val="28"/>
          <w:szCs w:val="28"/>
        </w:rPr>
      </w:pPr>
      <w:r w:rsidRPr="002F448E">
        <w:rPr>
          <w:bCs/>
          <w:sz w:val="28"/>
          <w:szCs w:val="28"/>
        </w:rPr>
        <w:t>абзац 5</w:t>
      </w:r>
      <w:r w:rsidR="00E4012D">
        <w:rPr>
          <w:bCs/>
          <w:sz w:val="28"/>
          <w:szCs w:val="28"/>
        </w:rPr>
        <w:t xml:space="preserve"> пункта</w:t>
      </w:r>
      <w:r w:rsidRPr="002F448E">
        <w:rPr>
          <w:bCs/>
          <w:sz w:val="28"/>
          <w:szCs w:val="28"/>
        </w:rPr>
        <w:t xml:space="preserve"> 1.4 изложить в следующей редакции: </w:t>
      </w:r>
    </w:p>
    <w:p w14:paraId="0B9591B4" w14:textId="1DC9F869" w:rsidR="00776323" w:rsidRPr="002F448E" w:rsidRDefault="00BF643B" w:rsidP="00BA6361">
      <w:pPr>
        <w:pStyle w:val="headertext"/>
        <w:spacing w:before="0" w:beforeAutospacing="0" w:after="0" w:afterAutospacing="0" w:line="271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6323" w:rsidRPr="002F448E">
        <w:rPr>
          <w:sz w:val="28"/>
          <w:szCs w:val="28"/>
        </w:rPr>
        <w:t>«Приказом Федерального архивного агенства от 02.03.2020 №</w:t>
      </w:r>
      <w:r w:rsidR="00673330">
        <w:rPr>
          <w:sz w:val="28"/>
          <w:szCs w:val="28"/>
        </w:rPr>
        <w:t xml:space="preserve"> </w:t>
      </w:r>
      <w:r w:rsidR="00776323" w:rsidRPr="002F448E">
        <w:rPr>
          <w:sz w:val="28"/>
          <w:szCs w:val="28"/>
        </w:rPr>
        <w:t xml:space="preserve">24 </w:t>
      </w:r>
      <w:r w:rsidR="00673330" w:rsidRPr="00673330">
        <w:rPr>
          <w:rFonts w:eastAsiaTheme="minorHAnsi"/>
          <w:sz w:val="28"/>
          <w:szCs w:val="28"/>
          <w:lang w:eastAsia="en-US"/>
        </w:rPr>
        <w:t>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</w:t>
      </w:r>
      <w:r w:rsidR="00776323" w:rsidRPr="002F448E">
        <w:rPr>
          <w:rFonts w:eastAsiaTheme="minorHAnsi"/>
          <w:sz w:val="28"/>
          <w:szCs w:val="28"/>
          <w:lang w:eastAsia="en-US"/>
        </w:rPr>
        <w:t>»</w:t>
      </w:r>
      <w:r w:rsidR="00776323" w:rsidRPr="002F448E">
        <w:rPr>
          <w:sz w:val="28"/>
          <w:szCs w:val="28"/>
        </w:rPr>
        <w:t>;</w:t>
      </w:r>
    </w:p>
    <w:p w14:paraId="2703C4DC" w14:textId="5151EAA0" w:rsidR="00776323" w:rsidRPr="002F448E" w:rsidRDefault="002F448E" w:rsidP="00BA6361">
      <w:pPr>
        <w:pStyle w:val="headertext"/>
        <w:spacing w:before="0" w:beforeAutospacing="0" w:after="0" w:afterAutospacing="0" w:line="271" w:lineRule="auto"/>
        <w:ind w:right="282"/>
        <w:jc w:val="both"/>
        <w:rPr>
          <w:sz w:val="28"/>
          <w:szCs w:val="28"/>
        </w:rPr>
      </w:pPr>
      <w:r w:rsidRPr="002F448E">
        <w:rPr>
          <w:sz w:val="28"/>
          <w:szCs w:val="28"/>
        </w:rPr>
        <w:lastRenderedPageBreak/>
        <w:tab/>
      </w:r>
      <w:r w:rsidR="00127C9B" w:rsidRPr="00971005">
        <w:rPr>
          <w:sz w:val="28"/>
          <w:szCs w:val="28"/>
        </w:rPr>
        <w:t xml:space="preserve">абзац 1 </w:t>
      </w:r>
      <w:r w:rsidR="00E4012D" w:rsidRPr="00971005">
        <w:rPr>
          <w:sz w:val="28"/>
          <w:szCs w:val="28"/>
        </w:rPr>
        <w:t>пункта</w:t>
      </w:r>
      <w:r w:rsidR="00127C9B" w:rsidRPr="00971005">
        <w:rPr>
          <w:sz w:val="28"/>
          <w:szCs w:val="28"/>
        </w:rPr>
        <w:t xml:space="preserve"> 5.1 изложить</w:t>
      </w:r>
      <w:r w:rsidR="00127C9B" w:rsidRPr="002F448E">
        <w:rPr>
          <w:sz w:val="28"/>
          <w:szCs w:val="28"/>
        </w:rPr>
        <w:t xml:space="preserve"> в следующей редакции:</w:t>
      </w:r>
    </w:p>
    <w:p w14:paraId="5EE5FD40" w14:textId="1DA36448" w:rsidR="00CC4F7E" w:rsidRPr="008D6FE3" w:rsidRDefault="009B517C" w:rsidP="00BA6361">
      <w:pPr>
        <w:spacing w:line="271" w:lineRule="auto"/>
        <w:ind w:right="28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27C9B" w:rsidRPr="002F448E">
        <w:rPr>
          <w:sz w:val="28"/>
          <w:szCs w:val="28"/>
        </w:rPr>
        <w:t>«</w:t>
      </w:r>
      <w:r w:rsidR="00A42CDE">
        <w:rPr>
          <w:sz w:val="28"/>
          <w:szCs w:val="28"/>
        </w:rPr>
        <w:t xml:space="preserve">получатели государственной или муниципальной </w:t>
      </w:r>
      <w:r w:rsidR="00127C9B" w:rsidRPr="002F448E">
        <w:rPr>
          <w:sz w:val="28"/>
          <w:szCs w:val="28"/>
        </w:rPr>
        <w:t>услуги имею</w:t>
      </w:r>
      <w:r w:rsidR="00A42CDE">
        <w:rPr>
          <w:sz w:val="28"/>
          <w:szCs w:val="28"/>
        </w:rPr>
        <w:t>т</w:t>
      </w:r>
      <w:r w:rsidR="00127C9B" w:rsidRPr="002F448E">
        <w:rPr>
          <w:sz w:val="28"/>
          <w:szCs w:val="28"/>
        </w:rPr>
        <w:t xml:space="preserve"> право на обжалование </w:t>
      </w:r>
      <w:r w:rsidR="00127C9B" w:rsidRPr="002F448E">
        <w:rPr>
          <w:color w:val="000000"/>
          <w:sz w:val="28"/>
          <w:szCs w:val="28"/>
          <w:shd w:val="clear" w:color="auto" w:fill="FFFFFF"/>
        </w:rPr>
        <w:t>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</w:t>
      </w:r>
      <w:r w:rsidR="00127C9B" w:rsidRPr="002F448E">
        <w:rPr>
          <w:sz w:val="28"/>
          <w:szCs w:val="28"/>
          <w:shd w:val="clear" w:color="auto" w:fill="FFFFFF"/>
        </w:rPr>
        <w:t>, </w:t>
      </w:r>
      <w:r w:rsidR="00127C9B" w:rsidRPr="002F448E">
        <w:rPr>
          <w:b/>
          <w:sz w:val="28"/>
          <w:szCs w:val="28"/>
        </w:rPr>
        <w:t xml:space="preserve"> </w:t>
      </w:r>
      <w:r w:rsidR="00127C9B" w:rsidRPr="002F448E">
        <w:rPr>
          <w:sz w:val="28"/>
          <w:szCs w:val="28"/>
        </w:rPr>
        <w:t>многофункционального центра, работника многофункционального центра, а также организаций, предусмотренных частью 1_1 статьи 16 настоящего Федерального закона, или их работников»</w:t>
      </w:r>
    </w:p>
    <w:p w14:paraId="6291C37A" w14:textId="45168F5D" w:rsidR="00687A7A" w:rsidRPr="002F448E" w:rsidRDefault="002F448E" w:rsidP="00BA6361">
      <w:pPr>
        <w:spacing w:line="271" w:lineRule="auto"/>
        <w:ind w:right="282"/>
        <w:jc w:val="both"/>
        <w:rPr>
          <w:b/>
          <w:sz w:val="28"/>
          <w:szCs w:val="28"/>
        </w:rPr>
      </w:pPr>
      <w:r w:rsidRPr="00B138E7">
        <w:rPr>
          <w:sz w:val="28"/>
          <w:szCs w:val="28"/>
        </w:rPr>
        <w:tab/>
      </w:r>
      <w:r w:rsidR="00E4012D" w:rsidRPr="001A5AA8">
        <w:rPr>
          <w:sz w:val="28"/>
          <w:szCs w:val="28"/>
        </w:rPr>
        <w:t>под</w:t>
      </w:r>
      <w:r w:rsidR="001A5AA8" w:rsidRPr="001A5AA8">
        <w:rPr>
          <w:sz w:val="28"/>
          <w:szCs w:val="28"/>
        </w:rPr>
        <w:t>пункт</w:t>
      </w:r>
      <w:r w:rsidR="005D1B34" w:rsidRPr="001A5AA8">
        <w:rPr>
          <w:sz w:val="28"/>
          <w:szCs w:val="28"/>
        </w:rPr>
        <w:t xml:space="preserve"> 1 </w:t>
      </w:r>
      <w:r w:rsidR="00E4012D" w:rsidRPr="001A5AA8">
        <w:rPr>
          <w:sz w:val="28"/>
          <w:szCs w:val="28"/>
        </w:rPr>
        <w:t>пункта</w:t>
      </w:r>
      <w:r w:rsidR="005D1B34" w:rsidRPr="001A5AA8">
        <w:rPr>
          <w:sz w:val="28"/>
          <w:szCs w:val="28"/>
        </w:rPr>
        <w:t xml:space="preserve"> 5.1</w:t>
      </w:r>
      <w:r w:rsidR="005D1B34" w:rsidRPr="00B138E7">
        <w:rPr>
          <w:sz w:val="28"/>
          <w:szCs w:val="28"/>
        </w:rPr>
        <w:t xml:space="preserve"> изложить</w:t>
      </w:r>
      <w:r w:rsidR="00B138E7" w:rsidRPr="00B138E7">
        <w:rPr>
          <w:color w:val="000000"/>
          <w:sz w:val="28"/>
          <w:szCs w:val="28"/>
          <w:shd w:val="clear" w:color="auto" w:fill="FFFFFF"/>
        </w:rPr>
        <w:t xml:space="preserve"> </w:t>
      </w:r>
      <w:r w:rsidR="00B138E7" w:rsidRPr="002F448E">
        <w:rPr>
          <w:color w:val="000000"/>
          <w:sz w:val="28"/>
          <w:szCs w:val="28"/>
          <w:shd w:val="clear" w:color="auto" w:fill="FFFFFF"/>
        </w:rPr>
        <w:t>в следующей редакции</w:t>
      </w:r>
      <w:r w:rsidR="005D1B34" w:rsidRPr="002F448E">
        <w:rPr>
          <w:b/>
          <w:sz w:val="28"/>
          <w:szCs w:val="28"/>
        </w:rPr>
        <w:t>:</w:t>
      </w:r>
    </w:p>
    <w:p w14:paraId="5D0B73B1" w14:textId="31B0914A" w:rsidR="002F448E" w:rsidRPr="008D6FE3" w:rsidRDefault="009D262C" w:rsidP="00BA6361">
      <w:pPr>
        <w:spacing w:line="271" w:lineRule="auto"/>
        <w:ind w:right="282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5D1B34" w:rsidRPr="002F448E">
        <w:rPr>
          <w:color w:val="000000"/>
          <w:sz w:val="28"/>
          <w:szCs w:val="28"/>
          <w:shd w:val="clear" w:color="auto" w:fill="FFFFFF"/>
        </w:rPr>
        <w:t>«нарушение срока регистрации запроса о предоставлении государственной или муниципальной услуги, </w:t>
      </w:r>
      <w:r w:rsidR="00137BED">
        <w:rPr>
          <w:color w:val="000000"/>
          <w:sz w:val="28"/>
          <w:szCs w:val="28"/>
          <w:shd w:val="clear" w:color="auto" w:fill="FFFFFF"/>
        </w:rPr>
        <w:t>запроса, указанного в статье 15.</w:t>
      </w:r>
      <w:r w:rsidR="002F448E" w:rsidRPr="002F448E">
        <w:rPr>
          <w:color w:val="000000"/>
          <w:sz w:val="28"/>
          <w:szCs w:val="28"/>
          <w:shd w:val="clear" w:color="auto" w:fill="FFFFFF"/>
        </w:rPr>
        <w:t>1 Федерального закона от 27.07.2010 № 210-ФЗ»;</w:t>
      </w:r>
    </w:p>
    <w:p w14:paraId="7824A2C5" w14:textId="5A965C22" w:rsidR="005D1B34" w:rsidRPr="002F448E" w:rsidRDefault="002F448E" w:rsidP="00BA6361">
      <w:pPr>
        <w:spacing w:line="271" w:lineRule="auto"/>
        <w:ind w:right="282"/>
        <w:jc w:val="both"/>
        <w:rPr>
          <w:color w:val="000000"/>
          <w:sz w:val="28"/>
          <w:szCs w:val="28"/>
          <w:shd w:val="clear" w:color="auto" w:fill="FFFFFF"/>
        </w:rPr>
      </w:pPr>
      <w:r w:rsidRPr="002F448E">
        <w:rPr>
          <w:color w:val="000000"/>
          <w:sz w:val="28"/>
          <w:szCs w:val="28"/>
          <w:shd w:val="clear" w:color="auto" w:fill="FFFFFF"/>
        </w:rPr>
        <w:tab/>
      </w:r>
      <w:r w:rsidR="00BF643B" w:rsidRPr="00BF643B">
        <w:rPr>
          <w:color w:val="000000"/>
          <w:sz w:val="28"/>
          <w:szCs w:val="28"/>
          <w:shd w:val="clear" w:color="auto" w:fill="FFFFFF"/>
        </w:rPr>
        <w:t>под</w:t>
      </w:r>
      <w:r w:rsidRPr="00BF643B">
        <w:rPr>
          <w:color w:val="000000"/>
          <w:sz w:val="28"/>
          <w:szCs w:val="28"/>
          <w:shd w:val="clear" w:color="auto" w:fill="FFFFFF"/>
        </w:rPr>
        <w:t xml:space="preserve">пункт 2 </w:t>
      </w:r>
      <w:r w:rsidR="00E4012D" w:rsidRPr="00BF643B">
        <w:rPr>
          <w:color w:val="000000"/>
          <w:sz w:val="28"/>
          <w:szCs w:val="28"/>
          <w:shd w:val="clear" w:color="auto" w:fill="FFFFFF"/>
        </w:rPr>
        <w:t>пункта</w:t>
      </w:r>
      <w:r w:rsidRPr="00BF643B">
        <w:rPr>
          <w:color w:val="000000"/>
          <w:sz w:val="28"/>
          <w:szCs w:val="28"/>
          <w:shd w:val="clear" w:color="auto" w:fill="FFFFFF"/>
        </w:rPr>
        <w:t xml:space="preserve"> 5.1</w:t>
      </w:r>
      <w:r w:rsidRPr="002F448E"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5E7D0CED" w14:textId="4B0B233E" w:rsidR="008D6FE3" w:rsidRPr="008D6FE3" w:rsidRDefault="002F448E" w:rsidP="00BA6361">
      <w:pPr>
        <w:spacing w:line="271" w:lineRule="auto"/>
        <w:ind w:right="282"/>
        <w:jc w:val="both"/>
        <w:rPr>
          <w:color w:val="000000"/>
          <w:sz w:val="28"/>
          <w:szCs w:val="28"/>
          <w:shd w:val="clear" w:color="auto" w:fill="C4E5FA"/>
        </w:rPr>
      </w:pPr>
      <w:r w:rsidRPr="002F448E">
        <w:rPr>
          <w:color w:val="000000"/>
          <w:sz w:val="28"/>
          <w:szCs w:val="28"/>
          <w:shd w:val="clear" w:color="auto" w:fill="FFFFFF"/>
        </w:rPr>
        <w:tab/>
      </w:r>
      <w:r w:rsidR="002D12C2" w:rsidRPr="002F448E">
        <w:rPr>
          <w:color w:val="000000"/>
          <w:sz w:val="28"/>
          <w:szCs w:val="28"/>
          <w:shd w:val="clear" w:color="auto" w:fill="FFFFFF"/>
        </w:rPr>
        <w:t>«</w:t>
      </w:r>
      <w:r w:rsidR="005D1B34" w:rsidRPr="002F448E">
        <w:rPr>
          <w:color w:val="000000"/>
          <w:sz w:val="28"/>
          <w:szCs w:val="28"/>
          <w:shd w:val="clear" w:color="auto" w:fill="FFFFFF"/>
        </w:rPr>
        <w:t>нарушение срока предоставления государственной или муниципальной услуги. </w:t>
      </w:r>
      <w:r w:rsidR="002D12C2" w:rsidRPr="002F448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 w:rsidR="00137BED">
        <w:rPr>
          <w:sz w:val="28"/>
          <w:szCs w:val="28"/>
        </w:rPr>
        <w:t xml:space="preserve"> порядке, определенном частью 1.</w:t>
      </w:r>
      <w:r w:rsidR="002D12C2" w:rsidRPr="002F448E">
        <w:rPr>
          <w:sz w:val="28"/>
          <w:szCs w:val="28"/>
        </w:rPr>
        <w:t xml:space="preserve">3 статьи 16 Федерального закона от 27.07.2010 </w:t>
      </w:r>
      <w:r w:rsidR="008E5ADD">
        <w:rPr>
          <w:sz w:val="28"/>
          <w:szCs w:val="28"/>
        </w:rPr>
        <w:t>№</w:t>
      </w:r>
      <w:r w:rsidR="002D12C2" w:rsidRPr="002F448E">
        <w:rPr>
          <w:sz w:val="28"/>
          <w:szCs w:val="28"/>
        </w:rPr>
        <w:t xml:space="preserve"> 210-ФЗ»</w:t>
      </w:r>
      <w:r w:rsidR="00E84B67" w:rsidRPr="002F448E">
        <w:rPr>
          <w:sz w:val="28"/>
          <w:szCs w:val="28"/>
        </w:rPr>
        <w:t>;</w:t>
      </w:r>
    </w:p>
    <w:p w14:paraId="038631A4" w14:textId="3CF8CB14" w:rsidR="00E84B67" w:rsidRPr="002F448E" w:rsidRDefault="002F448E" w:rsidP="00BA6361">
      <w:pPr>
        <w:spacing w:line="271" w:lineRule="auto"/>
        <w:ind w:right="282"/>
        <w:jc w:val="both"/>
        <w:rPr>
          <w:sz w:val="28"/>
          <w:szCs w:val="28"/>
        </w:rPr>
      </w:pPr>
      <w:r w:rsidRPr="002F448E">
        <w:rPr>
          <w:sz w:val="28"/>
          <w:szCs w:val="28"/>
        </w:rPr>
        <w:tab/>
      </w:r>
      <w:r w:rsidR="00CF5E51">
        <w:rPr>
          <w:sz w:val="28"/>
          <w:szCs w:val="28"/>
        </w:rPr>
        <w:t>под</w:t>
      </w:r>
      <w:r w:rsidR="00E84B67" w:rsidRPr="002F448E">
        <w:rPr>
          <w:sz w:val="28"/>
          <w:szCs w:val="28"/>
        </w:rPr>
        <w:t xml:space="preserve">пункт 3 </w:t>
      </w:r>
      <w:r w:rsidR="00E4012D">
        <w:rPr>
          <w:sz w:val="28"/>
          <w:szCs w:val="28"/>
        </w:rPr>
        <w:t xml:space="preserve">пункта </w:t>
      </w:r>
      <w:r w:rsidR="00E84B67" w:rsidRPr="002F448E">
        <w:rPr>
          <w:sz w:val="28"/>
          <w:szCs w:val="28"/>
        </w:rPr>
        <w:t>5.1 изложить</w:t>
      </w:r>
      <w:r w:rsidRPr="002F448E">
        <w:rPr>
          <w:color w:val="000000"/>
          <w:sz w:val="28"/>
          <w:szCs w:val="28"/>
          <w:shd w:val="clear" w:color="auto" w:fill="FFFFFF"/>
        </w:rPr>
        <w:t xml:space="preserve"> в следующей редакции</w:t>
      </w:r>
      <w:r w:rsidR="00E84B67" w:rsidRPr="002F448E">
        <w:rPr>
          <w:sz w:val="28"/>
          <w:szCs w:val="28"/>
        </w:rPr>
        <w:t>:</w:t>
      </w:r>
    </w:p>
    <w:p w14:paraId="1A08EE75" w14:textId="6151993E" w:rsidR="00E84B67" w:rsidRDefault="002F448E" w:rsidP="00BA6361">
      <w:pPr>
        <w:spacing w:line="271" w:lineRule="auto"/>
        <w:ind w:right="282"/>
        <w:jc w:val="both"/>
        <w:rPr>
          <w:sz w:val="28"/>
          <w:szCs w:val="28"/>
        </w:rPr>
      </w:pPr>
      <w:r w:rsidRPr="002F448E">
        <w:rPr>
          <w:sz w:val="28"/>
          <w:szCs w:val="28"/>
        </w:rPr>
        <w:tab/>
      </w:r>
      <w:r w:rsidR="008D6FE3">
        <w:rPr>
          <w:sz w:val="28"/>
          <w:szCs w:val="28"/>
        </w:rPr>
        <w:t>«</w:t>
      </w:r>
      <w:r w:rsidR="00E84B67" w:rsidRPr="002F448E">
        <w:rPr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="008D6FE3">
        <w:rPr>
          <w:sz w:val="28"/>
          <w:szCs w:val="28"/>
        </w:rPr>
        <w:t xml:space="preserve">   </w:t>
      </w:r>
      <w:r w:rsidR="008D6FE3" w:rsidRPr="008D6FE3">
        <w:rPr>
          <w:sz w:val="28"/>
          <w:szCs w:val="28"/>
        </w:rPr>
        <w:t xml:space="preserve">нормативными правовыми актами Российской Федерации, нормативными правовыми актами </w:t>
      </w:r>
      <w:r w:rsidR="008D6FE3">
        <w:rPr>
          <w:sz w:val="28"/>
          <w:szCs w:val="28"/>
        </w:rPr>
        <w:t xml:space="preserve">субъекта </w:t>
      </w:r>
      <w:r w:rsidR="008D6FE3" w:rsidRPr="008D6FE3">
        <w:rPr>
          <w:sz w:val="28"/>
          <w:szCs w:val="28"/>
        </w:rPr>
        <w:t xml:space="preserve">Российской Федерации, муниципальными правовыми актами для предоставления государственной </w:t>
      </w:r>
      <w:r w:rsidR="008D6FE3">
        <w:rPr>
          <w:sz w:val="28"/>
          <w:szCs w:val="28"/>
        </w:rPr>
        <w:t>или муниципальной услуги»;</w:t>
      </w:r>
    </w:p>
    <w:p w14:paraId="4D02C04F" w14:textId="1DCF389B" w:rsidR="00E4012D" w:rsidRPr="00E4012D" w:rsidRDefault="008D6FE3" w:rsidP="00BA6361">
      <w:pPr>
        <w:spacing w:line="271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Типовом </w:t>
      </w:r>
      <w:r w:rsidRPr="00E4012D">
        <w:rPr>
          <w:sz w:val="28"/>
          <w:szCs w:val="28"/>
        </w:rPr>
        <w:t>регламенте</w:t>
      </w:r>
      <w:r w:rsidR="00E4012D" w:rsidRPr="00E4012D">
        <w:rPr>
          <w:sz w:val="28"/>
          <w:szCs w:val="28"/>
        </w:rPr>
        <w:t xml:space="preserve"> предоставления государственной услуги по выдаче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</w:t>
      </w:r>
      <w:r w:rsidR="00E4012D">
        <w:rPr>
          <w:sz w:val="28"/>
          <w:szCs w:val="28"/>
        </w:rPr>
        <w:t>:</w:t>
      </w:r>
    </w:p>
    <w:p w14:paraId="793393B4" w14:textId="048BE859" w:rsidR="00687A7A" w:rsidRDefault="00E4012D" w:rsidP="00BA6361">
      <w:pPr>
        <w:spacing w:line="271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F5E51">
        <w:rPr>
          <w:sz w:val="28"/>
          <w:szCs w:val="28"/>
        </w:rPr>
        <w:t xml:space="preserve"> </w:t>
      </w:r>
      <w:r w:rsidRPr="00BF643B">
        <w:rPr>
          <w:sz w:val="28"/>
          <w:szCs w:val="28"/>
        </w:rPr>
        <w:t xml:space="preserve">абзац 7 </w:t>
      </w:r>
      <w:r w:rsidR="00CF5E51" w:rsidRPr="00BF643B">
        <w:rPr>
          <w:sz w:val="28"/>
          <w:szCs w:val="28"/>
        </w:rPr>
        <w:t>пункта</w:t>
      </w:r>
      <w:r w:rsidRPr="00BF643B">
        <w:rPr>
          <w:sz w:val="28"/>
          <w:szCs w:val="28"/>
        </w:rPr>
        <w:t xml:space="preserve"> 1.4 изложить</w:t>
      </w:r>
      <w:r>
        <w:rPr>
          <w:sz w:val="28"/>
          <w:szCs w:val="28"/>
        </w:rPr>
        <w:t xml:space="preserve"> в следующей редакции:</w:t>
      </w:r>
    </w:p>
    <w:p w14:paraId="7B88E1E8" w14:textId="254D82B3" w:rsidR="00002E50" w:rsidRPr="00D403D8" w:rsidRDefault="00CF5E51" w:rsidP="00BA6361">
      <w:pPr>
        <w:spacing w:line="271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012D" w:rsidRPr="00E4012D">
        <w:rPr>
          <w:sz w:val="28"/>
          <w:szCs w:val="28"/>
        </w:rPr>
        <w:t>«Приказ Федерального архивного агенства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</w:t>
      </w:r>
      <w:r w:rsidR="00D403D8">
        <w:rPr>
          <w:sz w:val="28"/>
          <w:szCs w:val="28"/>
        </w:rPr>
        <w:t>.</w:t>
      </w:r>
    </w:p>
    <w:p w14:paraId="1AA46BC0" w14:textId="30D9612F" w:rsidR="00E9694B" w:rsidRDefault="00E9694B" w:rsidP="00BA6361">
      <w:pPr>
        <w:spacing w:line="271" w:lineRule="auto"/>
        <w:ind w:right="282"/>
        <w:jc w:val="both"/>
        <w:rPr>
          <w:b/>
          <w:sz w:val="28"/>
          <w:szCs w:val="28"/>
        </w:rPr>
      </w:pPr>
    </w:p>
    <w:p w14:paraId="2C683BC1" w14:textId="4937B550" w:rsidR="009D58FB" w:rsidRPr="00E4012D" w:rsidRDefault="009D58FB" w:rsidP="00BA6361">
      <w:pPr>
        <w:spacing w:line="271" w:lineRule="auto"/>
        <w:ind w:right="282"/>
        <w:jc w:val="both"/>
        <w:rPr>
          <w:sz w:val="28"/>
          <w:szCs w:val="28"/>
        </w:rPr>
      </w:pPr>
      <w:r w:rsidRPr="00E4012D">
        <w:rPr>
          <w:sz w:val="28"/>
          <w:szCs w:val="28"/>
        </w:rPr>
        <w:t xml:space="preserve">Председатель                                                                                         </w:t>
      </w:r>
      <w:proofErr w:type="spellStart"/>
      <w:r w:rsidRPr="00E4012D">
        <w:rPr>
          <w:sz w:val="28"/>
          <w:szCs w:val="28"/>
        </w:rPr>
        <w:t>Г.З.Габдрахманова</w:t>
      </w:r>
      <w:proofErr w:type="spellEnd"/>
    </w:p>
    <w:sectPr w:rsidR="009D58FB" w:rsidRPr="00E4012D" w:rsidSect="00CE01FF">
      <w:pgSz w:w="11906" w:h="16838"/>
      <w:pgMar w:top="992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42A"/>
    <w:multiLevelType w:val="multilevel"/>
    <w:tmpl w:val="23C4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8C2A9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7640F3"/>
    <w:multiLevelType w:val="hybridMultilevel"/>
    <w:tmpl w:val="6C9C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D73A9"/>
    <w:multiLevelType w:val="hybridMultilevel"/>
    <w:tmpl w:val="D7A2E922"/>
    <w:lvl w:ilvl="0" w:tplc="2424C7EE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312"/>
    <w:multiLevelType w:val="hybridMultilevel"/>
    <w:tmpl w:val="E44A7B74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9830E8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EB5CD6"/>
    <w:multiLevelType w:val="hybridMultilevel"/>
    <w:tmpl w:val="7494EA76"/>
    <w:lvl w:ilvl="0" w:tplc="328A32D2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24C7EE">
      <w:start w:val="1"/>
      <w:numFmt w:val="decimal"/>
      <w:lvlText w:val="%2."/>
      <w:lvlJc w:val="left"/>
      <w:pPr>
        <w:ind w:left="110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C7A34B4">
      <w:numFmt w:val="bullet"/>
      <w:lvlText w:val="∙"/>
      <w:lvlJc w:val="left"/>
      <w:pPr>
        <w:ind w:left="2138" w:hanging="281"/>
      </w:pPr>
      <w:rPr>
        <w:lang w:val="ru-RU" w:eastAsia="en-US" w:bidi="ar-SA"/>
      </w:rPr>
    </w:lvl>
    <w:lvl w:ilvl="3" w:tplc="28D27FE0">
      <w:numFmt w:val="bullet"/>
      <w:lvlText w:val="∙"/>
      <w:lvlJc w:val="left"/>
      <w:pPr>
        <w:ind w:left="3176" w:hanging="281"/>
      </w:pPr>
      <w:rPr>
        <w:lang w:val="ru-RU" w:eastAsia="en-US" w:bidi="ar-SA"/>
      </w:rPr>
    </w:lvl>
    <w:lvl w:ilvl="4" w:tplc="53625C8E">
      <w:numFmt w:val="bullet"/>
      <w:lvlText w:val="∙"/>
      <w:lvlJc w:val="left"/>
      <w:pPr>
        <w:ind w:left="4215" w:hanging="281"/>
      </w:pPr>
      <w:rPr>
        <w:lang w:val="ru-RU" w:eastAsia="en-US" w:bidi="ar-SA"/>
      </w:rPr>
    </w:lvl>
    <w:lvl w:ilvl="5" w:tplc="4B9AE9DC">
      <w:numFmt w:val="bullet"/>
      <w:lvlText w:val="∙"/>
      <w:lvlJc w:val="left"/>
      <w:pPr>
        <w:ind w:left="5253" w:hanging="281"/>
      </w:pPr>
      <w:rPr>
        <w:lang w:val="ru-RU" w:eastAsia="en-US" w:bidi="ar-SA"/>
      </w:rPr>
    </w:lvl>
    <w:lvl w:ilvl="6" w:tplc="3F3E9510">
      <w:numFmt w:val="bullet"/>
      <w:lvlText w:val="∙"/>
      <w:lvlJc w:val="left"/>
      <w:pPr>
        <w:ind w:left="6292" w:hanging="281"/>
      </w:pPr>
      <w:rPr>
        <w:lang w:val="ru-RU" w:eastAsia="en-US" w:bidi="ar-SA"/>
      </w:rPr>
    </w:lvl>
    <w:lvl w:ilvl="7" w:tplc="EDF0D8EE">
      <w:numFmt w:val="bullet"/>
      <w:lvlText w:val="∙"/>
      <w:lvlJc w:val="left"/>
      <w:pPr>
        <w:ind w:left="7330" w:hanging="281"/>
      </w:pPr>
      <w:rPr>
        <w:lang w:val="ru-RU" w:eastAsia="en-US" w:bidi="ar-SA"/>
      </w:rPr>
    </w:lvl>
    <w:lvl w:ilvl="8" w:tplc="E40EACBC">
      <w:numFmt w:val="bullet"/>
      <w:lvlText w:val="∙"/>
      <w:lvlJc w:val="left"/>
      <w:pPr>
        <w:ind w:left="8369" w:hanging="281"/>
      </w:pPr>
      <w:rPr>
        <w:lang w:val="ru-RU" w:eastAsia="en-US" w:bidi="ar-SA"/>
      </w:rPr>
    </w:lvl>
  </w:abstractNum>
  <w:abstractNum w:abstractNumId="12" w15:restartNumberingAfterBreak="0">
    <w:nsid w:val="4B6D4FC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14" w15:restartNumberingAfterBreak="0">
    <w:nsid w:val="618C0E4A"/>
    <w:multiLevelType w:val="hybridMultilevel"/>
    <w:tmpl w:val="77F8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0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  <w:num w:numId="13">
    <w:abstractNumId w:val="6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0585"/>
    <w:rsid w:val="00000FEB"/>
    <w:rsid w:val="00002E50"/>
    <w:rsid w:val="00003F9C"/>
    <w:rsid w:val="00006F48"/>
    <w:rsid w:val="000107DB"/>
    <w:rsid w:val="000114DB"/>
    <w:rsid w:val="00016C2E"/>
    <w:rsid w:val="000303D2"/>
    <w:rsid w:val="00032497"/>
    <w:rsid w:val="00037DE5"/>
    <w:rsid w:val="0005072A"/>
    <w:rsid w:val="00077130"/>
    <w:rsid w:val="00086867"/>
    <w:rsid w:val="0009091C"/>
    <w:rsid w:val="000A0D24"/>
    <w:rsid w:val="000C2309"/>
    <w:rsid w:val="000D6A84"/>
    <w:rsid w:val="000D727F"/>
    <w:rsid w:val="000E3536"/>
    <w:rsid w:val="000F1E2F"/>
    <w:rsid w:val="00102F77"/>
    <w:rsid w:val="001032A1"/>
    <w:rsid w:val="001072D2"/>
    <w:rsid w:val="00127C9B"/>
    <w:rsid w:val="00131F2F"/>
    <w:rsid w:val="00137BED"/>
    <w:rsid w:val="00141584"/>
    <w:rsid w:val="001571D7"/>
    <w:rsid w:val="00165389"/>
    <w:rsid w:val="00165739"/>
    <w:rsid w:val="00170F97"/>
    <w:rsid w:val="00174CA8"/>
    <w:rsid w:val="001758E6"/>
    <w:rsid w:val="001A5AA8"/>
    <w:rsid w:val="001B6540"/>
    <w:rsid w:val="001D35A1"/>
    <w:rsid w:val="001E15B6"/>
    <w:rsid w:val="001E51BC"/>
    <w:rsid w:val="001F6D42"/>
    <w:rsid w:val="00202CBA"/>
    <w:rsid w:val="00204716"/>
    <w:rsid w:val="0020609D"/>
    <w:rsid w:val="00211872"/>
    <w:rsid w:val="00223832"/>
    <w:rsid w:val="00227939"/>
    <w:rsid w:val="00230410"/>
    <w:rsid w:val="00234955"/>
    <w:rsid w:val="00255525"/>
    <w:rsid w:val="00275A18"/>
    <w:rsid w:val="00290E46"/>
    <w:rsid w:val="00296183"/>
    <w:rsid w:val="00296C79"/>
    <w:rsid w:val="002B15DC"/>
    <w:rsid w:val="002B1DD1"/>
    <w:rsid w:val="002B3645"/>
    <w:rsid w:val="002B6CA7"/>
    <w:rsid w:val="002C322A"/>
    <w:rsid w:val="002C6730"/>
    <w:rsid w:val="002D12C2"/>
    <w:rsid w:val="002D78B1"/>
    <w:rsid w:val="002E1E07"/>
    <w:rsid w:val="002F067F"/>
    <w:rsid w:val="002F448E"/>
    <w:rsid w:val="00336161"/>
    <w:rsid w:val="00343F96"/>
    <w:rsid w:val="0035140D"/>
    <w:rsid w:val="00356061"/>
    <w:rsid w:val="003631C6"/>
    <w:rsid w:val="003769AB"/>
    <w:rsid w:val="00382B6A"/>
    <w:rsid w:val="003940E7"/>
    <w:rsid w:val="003B0329"/>
    <w:rsid w:val="003B1877"/>
    <w:rsid w:val="003B66BF"/>
    <w:rsid w:val="003C12C4"/>
    <w:rsid w:val="003F0944"/>
    <w:rsid w:val="00407665"/>
    <w:rsid w:val="00410CFF"/>
    <w:rsid w:val="004157E2"/>
    <w:rsid w:val="004204AF"/>
    <w:rsid w:val="00420D3A"/>
    <w:rsid w:val="00422B92"/>
    <w:rsid w:val="004261ED"/>
    <w:rsid w:val="00445D38"/>
    <w:rsid w:val="004503D5"/>
    <w:rsid w:val="004859DF"/>
    <w:rsid w:val="004A0709"/>
    <w:rsid w:val="004A608F"/>
    <w:rsid w:val="004A67FE"/>
    <w:rsid w:val="004C0D79"/>
    <w:rsid w:val="004E4BB8"/>
    <w:rsid w:val="004E7242"/>
    <w:rsid w:val="004F255B"/>
    <w:rsid w:val="004F325E"/>
    <w:rsid w:val="00507AE2"/>
    <w:rsid w:val="00512FEB"/>
    <w:rsid w:val="00525B5E"/>
    <w:rsid w:val="00530084"/>
    <w:rsid w:val="00540ECB"/>
    <w:rsid w:val="00542AA8"/>
    <w:rsid w:val="00543FD8"/>
    <w:rsid w:val="00547911"/>
    <w:rsid w:val="00553697"/>
    <w:rsid w:val="0055419D"/>
    <w:rsid w:val="0056485E"/>
    <w:rsid w:val="00564BDE"/>
    <w:rsid w:val="005753EE"/>
    <w:rsid w:val="005826F2"/>
    <w:rsid w:val="00591767"/>
    <w:rsid w:val="005A1A7E"/>
    <w:rsid w:val="005A2052"/>
    <w:rsid w:val="005A739A"/>
    <w:rsid w:val="005B2E62"/>
    <w:rsid w:val="005C3EE8"/>
    <w:rsid w:val="005D1B34"/>
    <w:rsid w:val="005D48E8"/>
    <w:rsid w:val="005F368D"/>
    <w:rsid w:val="00600C91"/>
    <w:rsid w:val="00603F2F"/>
    <w:rsid w:val="006048C9"/>
    <w:rsid w:val="00604DCF"/>
    <w:rsid w:val="00613C1D"/>
    <w:rsid w:val="0061684A"/>
    <w:rsid w:val="00617729"/>
    <w:rsid w:val="00620116"/>
    <w:rsid w:val="00637C77"/>
    <w:rsid w:val="00651534"/>
    <w:rsid w:val="0065193E"/>
    <w:rsid w:val="00652B38"/>
    <w:rsid w:val="0067214E"/>
    <w:rsid w:val="00673330"/>
    <w:rsid w:val="00681059"/>
    <w:rsid w:val="00687A7A"/>
    <w:rsid w:val="006A2F74"/>
    <w:rsid w:val="006B1ABA"/>
    <w:rsid w:val="006C567B"/>
    <w:rsid w:val="006D7E74"/>
    <w:rsid w:val="006F3935"/>
    <w:rsid w:val="007005A7"/>
    <w:rsid w:val="007045BC"/>
    <w:rsid w:val="00711959"/>
    <w:rsid w:val="0071730E"/>
    <w:rsid w:val="00717434"/>
    <w:rsid w:val="00722F0C"/>
    <w:rsid w:val="00733C66"/>
    <w:rsid w:val="007345D2"/>
    <w:rsid w:val="0075394B"/>
    <w:rsid w:val="00771D31"/>
    <w:rsid w:val="00776323"/>
    <w:rsid w:val="007843F9"/>
    <w:rsid w:val="00796DA4"/>
    <w:rsid w:val="007A36EE"/>
    <w:rsid w:val="007A61F2"/>
    <w:rsid w:val="007A6FBC"/>
    <w:rsid w:val="007A7B5A"/>
    <w:rsid w:val="007B4CD8"/>
    <w:rsid w:val="007B53FB"/>
    <w:rsid w:val="007B677B"/>
    <w:rsid w:val="007C0F1F"/>
    <w:rsid w:val="007C7236"/>
    <w:rsid w:val="007D3865"/>
    <w:rsid w:val="007D6643"/>
    <w:rsid w:val="007F01FA"/>
    <w:rsid w:val="007F5FB4"/>
    <w:rsid w:val="007F6F0F"/>
    <w:rsid w:val="00803D7B"/>
    <w:rsid w:val="0080469B"/>
    <w:rsid w:val="008146FB"/>
    <w:rsid w:val="00822D78"/>
    <w:rsid w:val="00853678"/>
    <w:rsid w:val="00867F55"/>
    <w:rsid w:val="00881A7A"/>
    <w:rsid w:val="00891884"/>
    <w:rsid w:val="00892788"/>
    <w:rsid w:val="0089279B"/>
    <w:rsid w:val="00893985"/>
    <w:rsid w:val="00896923"/>
    <w:rsid w:val="008C6172"/>
    <w:rsid w:val="008D6FE3"/>
    <w:rsid w:val="008E3026"/>
    <w:rsid w:val="008E35D7"/>
    <w:rsid w:val="008E5ADD"/>
    <w:rsid w:val="008F3877"/>
    <w:rsid w:val="00900627"/>
    <w:rsid w:val="0091133D"/>
    <w:rsid w:val="00913A49"/>
    <w:rsid w:val="00925D7C"/>
    <w:rsid w:val="00925FBC"/>
    <w:rsid w:val="00930E82"/>
    <w:rsid w:val="009434CA"/>
    <w:rsid w:val="009462BA"/>
    <w:rsid w:val="00947051"/>
    <w:rsid w:val="00962316"/>
    <w:rsid w:val="00971005"/>
    <w:rsid w:val="009871EF"/>
    <w:rsid w:val="00992DDA"/>
    <w:rsid w:val="00994C79"/>
    <w:rsid w:val="009B0CCB"/>
    <w:rsid w:val="009B3D7E"/>
    <w:rsid w:val="009B517C"/>
    <w:rsid w:val="009C16A1"/>
    <w:rsid w:val="009C3533"/>
    <w:rsid w:val="009D0E32"/>
    <w:rsid w:val="009D262C"/>
    <w:rsid w:val="009D58FB"/>
    <w:rsid w:val="009E1847"/>
    <w:rsid w:val="009E589A"/>
    <w:rsid w:val="009E71DD"/>
    <w:rsid w:val="009F654F"/>
    <w:rsid w:val="009F7A24"/>
    <w:rsid w:val="00A0390B"/>
    <w:rsid w:val="00A12C03"/>
    <w:rsid w:val="00A265F7"/>
    <w:rsid w:val="00A32387"/>
    <w:rsid w:val="00A32F52"/>
    <w:rsid w:val="00A42CDE"/>
    <w:rsid w:val="00A665DF"/>
    <w:rsid w:val="00A8145A"/>
    <w:rsid w:val="00A87D47"/>
    <w:rsid w:val="00AA4797"/>
    <w:rsid w:val="00AB5AE2"/>
    <w:rsid w:val="00AC37BF"/>
    <w:rsid w:val="00AC3ACE"/>
    <w:rsid w:val="00AE3134"/>
    <w:rsid w:val="00AF218D"/>
    <w:rsid w:val="00B00F38"/>
    <w:rsid w:val="00B138E7"/>
    <w:rsid w:val="00B24E0F"/>
    <w:rsid w:val="00B41D39"/>
    <w:rsid w:val="00B5321D"/>
    <w:rsid w:val="00B54F2C"/>
    <w:rsid w:val="00B73B39"/>
    <w:rsid w:val="00B76686"/>
    <w:rsid w:val="00B83D1F"/>
    <w:rsid w:val="00B87F91"/>
    <w:rsid w:val="00B92E37"/>
    <w:rsid w:val="00BA01A5"/>
    <w:rsid w:val="00BA1C0D"/>
    <w:rsid w:val="00BA6361"/>
    <w:rsid w:val="00BA68B6"/>
    <w:rsid w:val="00BB2722"/>
    <w:rsid w:val="00BB77F6"/>
    <w:rsid w:val="00BD78AF"/>
    <w:rsid w:val="00BF1D87"/>
    <w:rsid w:val="00BF5EC6"/>
    <w:rsid w:val="00BF643B"/>
    <w:rsid w:val="00BF79A4"/>
    <w:rsid w:val="00BF7EA3"/>
    <w:rsid w:val="00C16CF4"/>
    <w:rsid w:val="00C212C7"/>
    <w:rsid w:val="00C21DF0"/>
    <w:rsid w:val="00C30B37"/>
    <w:rsid w:val="00C32153"/>
    <w:rsid w:val="00C364BC"/>
    <w:rsid w:val="00C41C39"/>
    <w:rsid w:val="00C53429"/>
    <w:rsid w:val="00C55EC3"/>
    <w:rsid w:val="00C614EB"/>
    <w:rsid w:val="00C65850"/>
    <w:rsid w:val="00C70016"/>
    <w:rsid w:val="00C7222B"/>
    <w:rsid w:val="00C86AE8"/>
    <w:rsid w:val="00C90465"/>
    <w:rsid w:val="00CA31E1"/>
    <w:rsid w:val="00CA51E9"/>
    <w:rsid w:val="00CA5EDD"/>
    <w:rsid w:val="00CB2BF7"/>
    <w:rsid w:val="00CC1DDC"/>
    <w:rsid w:val="00CC4F7E"/>
    <w:rsid w:val="00CD1FE3"/>
    <w:rsid w:val="00CE01FF"/>
    <w:rsid w:val="00CE29A8"/>
    <w:rsid w:val="00CE5E0F"/>
    <w:rsid w:val="00CE6057"/>
    <w:rsid w:val="00CE7C48"/>
    <w:rsid w:val="00CF5E51"/>
    <w:rsid w:val="00D0649D"/>
    <w:rsid w:val="00D07C38"/>
    <w:rsid w:val="00D138E0"/>
    <w:rsid w:val="00D14CD8"/>
    <w:rsid w:val="00D15942"/>
    <w:rsid w:val="00D17882"/>
    <w:rsid w:val="00D27D7B"/>
    <w:rsid w:val="00D36B14"/>
    <w:rsid w:val="00D403D8"/>
    <w:rsid w:val="00D63AB5"/>
    <w:rsid w:val="00D6768A"/>
    <w:rsid w:val="00D8390B"/>
    <w:rsid w:val="00D84D06"/>
    <w:rsid w:val="00D8629E"/>
    <w:rsid w:val="00DB0880"/>
    <w:rsid w:val="00DC2CC3"/>
    <w:rsid w:val="00DC6579"/>
    <w:rsid w:val="00DF7B02"/>
    <w:rsid w:val="00E007F9"/>
    <w:rsid w:val="00E04B3B"/>
    <w:rsid w:val="00E169D3"/>
    <w:rsid w:val="00E35C53"/>
    <w:rsid w:val="00E4012D"/>
    <w:rsid w:val="00E4230E"/>
    <w:rsid w:val="00E47E14"/>
    <w:rsid w:val="00E76159"/>
    <w:rsid w:val="00E76CCE"/>
    <w:rsid w:val="00E84B67"/>
    <w:rsid w:val="00E92020"/>
    <w:rsid w:val="00E965EE"/>
    <w:rsid w:val="00E9694B"/>
    <w:rsid w:val="00EA1897"/>
    <w:rsid w:val="00EC4B9A"/>
    <w:rsid w:val="00EC65F7"/>
    <w:rsid w:val="00ED0496"/>
    <w:rsid w:val="00ED4DA7"/>
    <w:rsid w:val="00EE7BCE"/>
    <w:rsid w:val="00EF6625"/>
    <w:rsid w:val="00EF6988"/>
    <w:rsid w:val="00F01150"/>
    <w:rsid w:val="00F07404"/>
    <w:rsid w:val="00F1581B"/>
    <w:rsid w:val="00F417C5"/>
    <w:rsid w:val="00F445E5"/>
    <w:rsid w:val="00F51A92"/>
    <w:rsid w:val="00F56A2F"/>
    <w:rsid w:val="00F75C70"/>
    <w:rsid w:val="00F86374"/>
    <w:rsid w:val="00F87827"/>
    <w:rsid w:val="00F927CC"/>
    <w:rsid w:val="00F95208"/>
    <w:rsid w:val="00FB6B5C"/>
    <w:rsid w:val="00FB7A7F"/>
    <w:rsid w:val="00FC779F"/>
    <w:rsid w:val="00FD081E"/>
    <w:rsid w:val="00FE0EF6"/>
    <w:rsid w:val="00FE2873"/>
    <w:rsid w:val="00FE703C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FCBA"/>
  <w15:docId w15:val="{FFD486BE-39D1-43CB-93FA-659B3AB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6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23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rsid w:val="00722F0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722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722F0C"/>
    <w:rPr>
      <w:b/>
      <w:bCs/>
    </w:rPr>
  </w:style>
  <w:style w:type="table" w:customStyle="1" w:styleId="1">
    <w:name w:val="Сетка таблицы1"/>
    <w:basedOn w:val="a1"/>
    <w:next w:val="aa"/>
    <w:uiPriority w:val="59"/>
    <w:rsid w:val="00C4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41C39"/>
  </w:style>
  <w:style w:type="paragraph" w:customStyle="1" w:styleId="ConsPlusNormal">
    <w:name w:val="ConsPlusNormal"/>
    <w:rsid w:val="00C41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41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C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Normal (Web)"/>
    <w:basedOn w:val="a"/>
    <w:uiPriority w:val="99"/>
    <w:rsid w:val="00C41C39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information">
    <w:name w:val="information"/>
    <w:rsid w:val="00C41C39"/>
  </w:style>
  <w:style w:type="numbering" w:customStyle="1" w:styleId="Style1">
    <w:name w:val="Style1"/>
    <w:uiPriority w:val="99"/>
    <w:rsid w:val="00C41C39"/>
    <w:pPr>
      <w:numPr>
        <w:numId w:val="8"/>
      </w:numPr>
    </w:pPr>
  </w:style>
  <w:style w:type="paragraph" w:styleId="af0">
    <w:name w:val="footer"/>
    <w:basedOn w:val="a"/>
    <w:link w:val="af1"/>
    <w:uiPriority w:val="99"/>
    <w:unhideWhenUsed/>
    <w:rsid w:val="00C41C39"/>
    <w:pPr>
      <w:tabs>
        <w:tab w:val="center" w:pos="4677"/>
        <w:tab w:val="right" w:pos="9355"/>
      </w:tabs>
      <w:autoSpaceDE/>
      <w:autoSpaceDN/>
    </w:pPr>
  </w:style>
  <w:style w:type="character" w:customStyle="1" w:styleId="af1">
    <w:name w:val="Нижний колонтитул Знак"/>
    <w:basedOn w:val="a0"/>
    <w:link w:val="af0"/>
    <w:uiPriority w:val="99"/>
    <w:rsid w:val="00C41C3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a"/>
    <w:uiPriority w:val="59"/>
    <w:rsid w:val="00C4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41C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1"/>
    <w:basedOn w:val="a"/>
    <w:next w:val="af2"/>
    <w:link w:val="af3"/>
    <w:uiPriority w:val="1"/>
    <w:semiHidden/>
    <w:unhideWhenUsed/>
    <w:rsid w:val="00C41C39"/>
    <w:rPr>
      <w:rFonts w:eastAsiaTheme="minorHAnsi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11"/>
    <w:uiPriority w:val="1"/>
    <w:semiHidden/>
    <w:rsid w:val="00C41C39"/>
    <w:rPr>
      <w:rFonts w:ascii="Times New Roman" w:hAnsi="Times New Roman" w:cs="Times New Roman"/>
      <w:sz w:val="28"/>
      <w:szCs w:val="28"/>
    </w:rPr>
  </w:style>
  <w:style w:type="paragraph" w:customStyle="1" w:styleId="rteindent1">
    <w:name w:val="rteindent1"/>
    <w:basedOn w:val="a"/>
    <w:rsid w:val="00C41C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Emphasis"/>
    <w:basedOn w:val="a0"/>
    <w:uiPriority w:val="20"/>
    <w:qFormat/>
    <w:rsid w:val="00C41C39"/>
    <w:rPr>
      <w:i/>
      <w:iCs/>
    </w:rPr>
  </w:style>
  <w:style w:type="paragraph" w:customStyle="1" w:styleId="rtecenter">
    <w:name w:val="rtecenter"/>
    <w:basedOn w:val="a"/>
    <w:rsid w:val="00C41C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"/>
    <w:link w:val="12"/>
    <w:uiPriority w:val="99"/>
    <w:semiHidden/>
    <w:unhideWhenUsed/>
    <w:rsid w:val="00C41C39"/>
    <w:pPr>
      <w:spacing w:after="120"/>
    </w:pPr>
  </w:style>
  <w:style w:type="character" w:customStyle="1" w:styleId="12">
    <w:name w:val="Основной текст Знак1"/>
    <w:basedOn w:val="a0"/>
    <w:link w:val="af2"/>
    <w:uiPriority w:val="99"/>
    <w:semiHidden/>
    <w:rsid w:val="00C41C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F6625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EF66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EF66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a"/>
    <w:uiPriority w:val="59"/>
    <w:rsid w:val="000909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E51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39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12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1ED0-8772-40E5-BF7A-5EDACE4A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USER-306</cp:lastModifiedBy>
  <cp:revision>63</cp:revision>
  <cp:lastPrinted>2022-03-17T14:26:00Z</cp:lastPrinted>
  <dcterms:created xsi:type="dcterms:W3CDTF">2023-11-17T08:44:00Z</dcterms:created>
  <dcterms:modified xsi:type="dcterms:W3CDTF">2023-11-22T13:54:00Z</dcterms:modified>
</cp:coreProperties>
</file>