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51"/>
        <w:ind w:right="5101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Положение о региональном государственном контроле (надзоре) за собл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юдением законодательства об архивном деле, утвержденное постановлением Кабинета Министров Республики Татарстан от 29.09.2021 № 928 «Об утверждении Положения о региональном государственном контроле (надзоре) за соблюдением законодательства об архивном деле»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5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8"/>
        <w:ind w:firstLine="709"/>
        <w:jc w:val="both"/>
        <w:spacing w:before="0" w:after="0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Положение о региональном государственном контроле (надзоре) за соблюдением законодательст</w:t>
      </w:r>
      <w:r>
        <w:rPr>
          <w:color w:val="000000" w:themeColor="text1"/>
          <w:sz w:val="28"/>
          <w:szCs w:val="28"/>
        </w:rPr>
        <w:t xml:space="preserve">ва об архивном деле, утвержденное постановлением Кабинета Министров Республики Татарстан от 29.09.2021 № 928 «Об утверждении Положения о региональном государственном контроле (надзоре) за соблюдением законодательства об архивном деле», следующие изменения:</w:t>
      </w:r>
      <w:r>
        <w:rPr>
          <w:color w:val="000000" w:themeColor="text1"/>
          <w:sz w:val="28"/>
          <w:szCs w:val="28"/>
        </w:rPr>
      </w:r>
    </w:p>
    <w:p>
      <w:pPr>
        <w:pStyle w:val="688"/>
        <w:jc w:val="both"/>
        <w:spacing w:before="0" w:after="0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дополнить пунктом 14.2 следующего содержания:</w:t>
      </w:r>
      <w:r>
        <w:rPr>
          <w:color w:val="000000" w:themeColor="text1"/>
          <w:sz w:val="28"/>
          <w:szCs w:val="28"/>
        </w:rPr>
      </w:r>
    </w:p>
    <w:p>
      <w:pPr>
        <w:pStyle w:val="688"/>
        <w:ind w:firstLine="709"/>
        <w:jc w:val="both"/>
        <w:spacing w:before="0" w:after="0"/>
        <w:widowControl w:val="off"/>
        <w:rPr>
          <w:color w:val="000000" w:themeColor="text1"/>
          <w:sz w:val="28"/>
          <w:szCs w:val="28"/>
          <w:highlight w:val="green"/>
        </w:rPr>
      </w:pPr>
      <w:r>
        <w:rPr>
          <w:color w:val="000000" w:themeColor="text1"/>
          <w:sz w:val="28"/>
          <w:szCs w:val="28"/>
          <w:highlight w:val="green"/>
        </w:rPr>
        <w:t xml:space="preserve">«14.2. </w:t>
      </w:r>
      <w:r>
        <w:rPr>
          <w:color w:val="000000" w:themeColor="text1"/>
          <w:sz w:val="28"/>
          <w:szCs w:val="28"/>
        </w:rPr>
        <w:t xml:space="preserve">Решения  о  проведении  профилактического  визита, об объявлении предостережения,  о  проведении  контрольного  (надзорного)  мероприятия, предусматривающего  взаимодействие  с  контролируемым  лицом, акты (в том числе   акты   о</w:t>
      </w:r>
      <w:r>
        <w:rPr>
          <w:color w:val="000000" w:themeColor="text1"/>
          <w:sz w:val="28"/>
          <w:szCs w:val="28"/>
        </w:rPr>
        <w:t xml:space="preserve">   невозможности  проведения)  контрольного  (надзорного) мероприятия,  профилактического  мероприятия,  контрольного  (надзорного) действия   в   рамках   специального   режима  государственного  контроля (надзора),  предписания  об  устранении  выявленны</w:t>
      </w:r>
      <w:r>
        <w:rPr>
          <w:color w:val="000000" w:themeColor="text1"/>
          <w:sz w:val="28"/>
          <w:szCs w:val="28"/>
        </w:rPr>
        <w:t xml:space="preserve">х нарушений оформляются посредством   внесения   сведений  о  них  в  единый  реестр  контрольных (надзорных)   мероприятий  и  их  подписания.  Для  оформления  указанных решений,   актов   и  предписаний  отдельное  формирование  документа  не требуется.</w:t>
      </w:r>
      <w:r>
        <w:rPr>
          <w:color w:val="000000" w:themeColor="text1"/>
          <w:sz w:val="28"/>
          <w:szCs w:val="28"/>
          <w:highlight w:val="green"/>
        </w:rPr>
        <w:t xml:space="preserve">»</w:t>
      </w:r>
      <w:r>
        <w:rPr>
          <w:color w:val="000000" w:themeColor="text1"/>
          <w:sz w:val="28"/>
          <w:szCs w:val="28"/>
          <w:highlight w:val="green"/>
        </w:rPr>
        <w:t xml:space="preserve">;</w:t>
      </w:r>
      <w:r>
        <w:rPr>
          <w:color w:val="000000" w:themeColor="text1"/>
          <w:sz w:val="28"/>
          <w:szCs w:val="28"/>
          <w:highlight w:val="green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4.2. дополнить абзацем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8.5.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«8.5.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Контролируемое лицо вправе после получения предостережения о недопустимости нарушений обязательных требований подать в Госкомархив возражения в отношении указанного предостережения не позднее 30 календарных дней со дня получения им предостережения,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наличии документов, подтверждающих доводы, на основании которых заявитель не согласен с предостережением, они прилагаются к возражению.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9.3.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«9.3.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Консультирование может осуществляться 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10.7.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Обязательный профилактический визит может быть проведен не более одного раза в год.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10.8. Обязательный профилакт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                                       двадцать четыре часа до его начала.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10.9.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В рамках обязательного профилактического визита должностное лицо Госкомархива при необходимости проводит осмотр, истребование необходимых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10.10.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Срок проведения обязательного профилактического визита не может превышать 10 рабочих дней.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10.11.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филактического визита (далее также - акт обязательного профилактического визита) в порядке, предусмотренном статьей 90 Федерального закона от 31 июля 2020 года N 248-ФЗ "О государственном контроле (надзоре) и муниципальном контроле в Российской Федерации".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10.12.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Контролируемое лицо или его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едставитель знакомится с содержанием акта обязательного профилактического визита в порядке, предусмотренном статьей 88 Федерального закона от 31 июля 2020 года N 248-ФЗ "О государственном контроле (надзоре) и муниципальном контроле в Российской Федерации".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10.13.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должностным лицом Госкомархива составляетс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я акт о невозможности проведения обязательного профилактического визита в порядке, предусмотренном частью 10 статьи 65 Федерального закона от 31 июля 2020 года N 248-ФЗ "О государственном контроле (надзоре) и муниципальном контроле в Российской Федерации".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10.14.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В случае невозможности проведения обязательного профилактического визита уполномоченное должно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стное лицо Госкомархива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10.15.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ия не устранены до окончания проведения обязательного профилактического визита в порядке, предусмотренном статьей 90.1 Федерального закона от 31 июля 2020 года N 248-ФЗ "О государственном контроле (надзоре) и муниципальном контроле в Российской Федерации".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10.16.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Профилактический виз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10.17.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 или регионального портала государственных и муниципальных услуг. Госкомархив рассматривает заявление в течение 10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10.18.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В случае принятия решения о проведении профилактического визита Госкомархив в течение 20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10.19.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в течение шести месяцев до даты подачи повторного заявления прове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в течение года до даты подачи заявления контрольным (надзорным) органом проведен профилактический визит по ранее поданному заявлению;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онтролируемое лицо не соответствует критериям, предусмотренным п.10.15. настоящей главы.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10.20.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Решение об отказе в пр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оведении профилактического визита может быть обжаловано контролируемым лицом в порядке, установленном статьями 39 - 43 Федерального закона от 31 июля 2020 года N 248-ФЗ "О государственном контроле (надзоре) и муниципальном контроле в Российской Федерации".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10.21.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Госкомархив не позднее чем за пять рабочих дней до даты его проведения.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10.22.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10.23.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10.24.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яемым законом ценностям или такой вред (ущерб) причинен, должностное лицо Госкомархива незамедлительно направляет информацию об этом председателю (заместителю председателя) Госкомархива для принятия решения о проведении контрольных (надзорных) мероприятий.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  <w:lang w:eastAsia="ru-RU"/>
        </w:rPr>
        <w:t xml:space="preserve">Пункт 11.4.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11.4. Внеплановые контрольные (надзорные) мероприятия проводятся при наличии следующих оснований: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наличие у Госкомархива сведений о причинении вреда (ущер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ба) или об угрозе причинения вреда (ущерба) охраняемым законом ценностям с учетом положения пункта 4 части 1 статьи 60 Федерального закона от 31 июля 2020 года N 248-ФЗ "О государственном контроле (надзоре) и муниципальном контроле в Российской Федерации";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истечение срока исполнения решения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Госкомархива об устранении выявленного нарушения обязательных требований - в случаях, установленных частью 1 статьи 95 Федерального закона от 31 июля 2020 года N 248-ФЗ "О государственном контроле (надзоре) и муниципальном контроле в Российской Федерации";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уклонение контролируемого лица от проведения обязательного профилактического визита;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u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none"/>
          <w:lang w:eastAsia="ru-RU"/>
        </w:rPr>
        <w:t xml:space="preserve">при выявлении признаков нар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none"/>
          <w:lang w:eastAsia="ru-RU"/>
        </w:rPr>
        <w:t xml:space="preserve">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</w:t>
      </w:r>
      <w:r>
        <w:rPr>
          <w:u w:val="none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пункт 12.3 дополнить абзацем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дополнить пунктом 12.9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Пункт 12.3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  <w:lang w:eastAsia="ru-RU"/>
        </w:rPr>
        <w:t xml:space="preserve">изложить в следующей редакции: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1) получение письменных объяснений;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2) истребование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ind w:left="0" w:right="0" w:firstLine="737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651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51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Республики Татарстан                                                       </w:t>
        <w:tab/>
        <w:tab/>
        <w:t xml:space="preserve">           А.В.Песошин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567" w:bottom="1134" w:left="1134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Noto Sans">
    <w:panose1 w:val="020B0502040504020204"/>
  </w:font>
  <w:font w:name="Liberation Sans">
    <w:panose1 w:val="020B0604020202020204"/>
  </w:font>
  <w:font w:name="Noto Sans Devanagari">
    <w:panose1 w:val="020B0502040504020204"/>
  </w:font>
  <w:font w:name="Segoe UI">
    <w:panose1 w:val="020B0502040204020203"/>
  </w:font>
  <w:font w:name="Liberation Serif">
    <w:panose1 w:val="02020603050405020304"/>
  </w:font>
  <w:font w:name="PT Astra Serif">
    <w:panose1 w:val="020A0603040505020204"/>
  </w:font>
  <w:font w:name="NSimSun">
    <w:panose1 w:val="02010609030101010101"/>
  </w:font>
  <w:font w:name="Arial">
    <w:panose1 w:val="020B0604020202020204"/>
  </w:font>
  <w:font w:name="Tahoma">
    <w:panose1 w:val="020B060403050404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ahoma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3"/>
    <w:link w:val="65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3"/>
    <w:link w:val="672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3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3"/>
    <w:link w:val="686"/>
    <w:uiPriority w:val="99"/>
  </w:style>
  <w:style w:type="character" w:styleId="45">
    <w:name w:val="Footer Char"/>
    <w:basedOn w:val="653"/>
    <w:link w:val="687"/>
    <w:uiPriority w:val="99"/>
  </w:style>
  <w:style w:type="character" w:styleId="47">
    <w:name w:val="Caption Char"/>
    <w:basedOn w:val="653"/>
    <w:link w:val="673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2"/>
    <w:uiPriority w:val="99"/>
    <w:rPr>
      <w:sz w:val="18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3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ahoma"/>
      <w:color w:val="auto"/>
      <w:sz w:val="22"/>
      <w:szCs w:val="22"/>
      <w:lang w:val="ru-RU" w:eastAsia="en-US" w:bidi="ar-SA"/>
    </w:rPr>
  </w:style>
  <w:style w:type="paragraph" w:styleId="652">
    <w:name w:val="Heading 2"/>
    <w:basedOn w:val="672"/>
    <w:next w:val="668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653" w:default="1">
    <w:name w:val="Default Paragraph Font"/>
    <w:uiPriority w:val="1"/>
    <w:unhideWhenUsed/>
    <w:qFormat/>
  </w:style>
  <w:style w:type="character" w:styleId="654" w:customStyle="1">
    <w:name w:val="Верхний колонтитул Знак"/>
    <w:basedOn w:val="653"/>
    <w:qFormat/>
  </w:style>
  <w:style w:type="character" w:styleId="655" w:customStyle="1">
    <w:name w:val="Нижний колонтитул Знак"/>
    <w:basedOn w:val="653"/>
    <w:qFormat/>
  </w:style>
  <w:style w:type="character" w:styleId="656">
    <w:name w:val="Placeholder Text"/>
    <w:basedOn w:val="653"/>
    <w:qFormat/>
    <w:rPr>
      <w:color w:val="808080"/>
    </w:rPr>
  </w:style>
  <w:style w:type="character" w:styleId="657">
    <w:name w:val="Hyperlink"/>
    <w:basedOn w:val="653"/>
    <w:rPr>
      <w:color w:val="0000ff"/>
      <w:u w:val="single"/>
    </w:rPr>
  </w:style>
  <w:style w:type="character" w:styleId="658" w:customStyle="1">
    <w:name w:val="Основной текст Знак"/>
    <w:basedOn w:val="653"/>
    <w:qFormat/>
    <w:rPr>
      <w:rFonts w:ascii="Calibri" w:hAnsi="Calibri" w:eastAsia="NSimSun" w:cs="Noto Sans Devanagari"/>
      <w:szCs w:val="24"/>
      <w:lang w:eastAsia="zh-CN" w:bidi="hi-IN"/>
    </w:rPr>
  </w:style>
  <w:style w:type="character" w:styleId="659" w:customStyle="1">
    <w:name w:val="Текст примечания Знак"/>
    <w:basedOn w:val="653"/>
    <w:link w:val="690"/>
    <w:qFormat/>
    <w:rPr>
      <w:sz w:val="20"/>
      <w:szCs w:val="20"/>
    </w:rPr>
  </w:style>
  <w:style w:type="character" w:styleId="660">
    <w:name w:val="annotation reference"/>
    <w:basedOn w:val="653"/>
    <w:qFormat/>
    <w:rPr>
      <w:sz w:val="16"/>
      <w:szCs w:val="16"/>
    </w:rPr>
  </w:style>
  <w:style w:type="character" w:styleId="661" w:customStyle="1">
    <w:name w:val="Текст выноски Знак"/>
    <w:basedOn w:val="653"/>
    <w:link w:val="691"/>
    <w:qFormat/>
    <w:rPr>
      <w:rFonts w:ascii="Tahoma" w:hAnsi="Tahoma" w:cs="Tahoma"/>
      <w:sz w:val="16"/>
      <w:szCs w:val="16"/>
    </w:rPr>
  </w:style>
  <w:style w:type="character" w:styleId="662" w:customStyle="1">
    <w:name w:val="Текст сноски Знак"/>
    <w:basedOn w:val="653"/>
    <w:qFormat/>
    <w:rPr>
      <w:sz w:val="20"/>
      <w:szCs w:val="20"/>
    </w:rPr>
  </w:style>
  <w:style w:type="character" w:styleId="663" w:customStyle="1">
    <w:name w:val="Символ сноски"/>
    <w:qFormat/>
    <w:rPr>
      <w:vertAlign w:val="superscript"/>
    </w:rPr>
  </w:style>
  <w:style w:type="character" w:styleId="664">
    <w:name w:val="footnote reference"/>
    <w:rPr>
      <w:vertAlign w:val="superscript"/>
    </w:rPr>
  </w:style>
  <w:style w:type="character" w:styleId="665" w:customStyle="1">
    <w:name w:val="Тема примечания Знак"/>
    <w:basedOn w:val="659"/>
    <w:link w:val="693"/>
    <w:qFormat/>
    <w:rPr>
      <w:b/>
      <w:bCs/>
      <w:sz w:val="20"/>
      <w:szCs w:val="20"/>
    </w:rPr>
  </w:style>
  <w:style w:type="character" w:styleId="666" w:customStyle="1">
    <w:name w:val="Символ нумерации"/>
    <w:qFormat/>
  </w:style>
  <w:style w:type="paragraph" w:styleId="667" w:customStyle="1">
    <w:name w:val="Заголовок"/>
    <w:basedOn w:val="651"/>
    <w:next w:val="668"/>
    <w:qFormat/>
    <w:pPr>
      <w:keepNext/>
      <w:spacing w:before="240" w:after="120"/>
    </w:pPr>
    <w:rPr>
      <w:rFonts w:ascii="Liberation Sans" w:hAnsi="Liberation Sans" w:eastAsia="Microsoft YaHei" w:cs="Noto Sans"/>
      <w:sz w:val="28"/>
      <w:szCs w:val="28"/>
    </w:rPr>
  </w:style>
  <w:style w:type="paragraph" w:styleId="668">
    <w:name w:val="Body Text"/>
    <w:basedOn w:val="651"/>
    <w:link w:val="658"/>
    <w:pPr>
      <w:spacing w:before="0" w:after="140"/>
    </w:pPr>
    <w:rPr>
      <w:rFonts w:eastAsia="NSimSun" w:cs="Noto Sans Devanagari"/>
      <w:szCs w:val="24"/>
      <w:lang w:eastAsia="zh-CN" w:bidi="hi-IN"/>
    </w:rPr>
  </w:style>
  <w:style w:type="paragraph" w:styleId="669">
    <w:name w:val="List"/>
    <w:basedOn w:val="668"/>
  </w:style>
  <w:style w:type="paragraph" w:styleId="670">
    <w:name w:val="Caption"/>
    <w:basedOn w:val="65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71" w:customStyle="1">
    <w:name w:val="Указатель"/>
    <w:basedOn w:val="651"/>
    <w:qFormat/>
    <w:pPr>
      <w:suppressLineNumbers/>
    </w:pPr>
    <w:rPr>
      <w:rFonts w:cs="Noto Sans"/>
    </w:rPr>
  </w:style>
  <w:style w:type="paragraph" w:styleId="672">
    <w:name w:val="Title"/>
    <w:basedOn w:val="651"/>
    <w:next w:val="668"/>
    <w:qFormat/>
    <w:pPr>
      <w:keepNext/>
      <w:spacing w:before="240" w:after="120"/>
    </w:pPr>
    <w:rPr>
      <w:rFonts w:ascii="Liberation Sans" w:hAnsi="Liberation Sans" w:eastAsia="Microsoft YaHei" w:cs="Noto Sans Devanagari"/>
      <w:sz w:val="28"/>
      <w:szCs w:val="28"/>
    </w:rPr>
  </w:style>
  <w:style w:type="paragraph" w:styleId="673">
    <w:name w:val="Caption"/>
    <w:basedOn w:val="651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74">
    <w:name w:val="index heading"/>
    <w:basedOn w:val="651"/>
    <w:qFormat/>
    <w:pPr>
      <w:suppressLineNumbers/>
    </w:pPr>
    <w:rPr>
      <w:rFonts w:cs="Noto Sans Devanagari"/>
    </w:rPr>
  </w:style>
  <w:style w:type="paragraph" w:styleId="675" w:customStyle="1">
    <w:name w:val="caption1"/>
    <w:basedOn w:val="651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76" w:customStyle="1">
    <w:name w:val="ConsPlusNormal"/>
    <w:qFormat/>
    <w:pPr>
      <w:jc w:val="left"/>
      <w:spacing w:before="0" w:after="0"/>
      <w:widowControl w:val="off"/>
    </w:pPr>
    <w:rPr>
      <w:rFonts w:ascii="Calibri" w:hAnsi="Calibri" w:eastAsia="Calibri" w:cs="Calibri"/>
      <w:color w:val="auto"/>
      <w:sz w:val="22"/>
      <w:szCs w:val="22"/>
      <w:lang w:val="ru-RU" w:eastAsia="ru-RU" w:bidi="ar-SA"/>
    </w:rPr>
  </w:style>
  <w:style w:type="paragraph" w:styleId="677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2"/>
      <w:lang w:val="ru-RU" w:eastAsia="ru-RU" w:bidi="ar-SA"/>
    </w:rPr>
  </w:style>
  <w:style w:type="paragraph" w:styleId="678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Calibri" w:cs="Calibri"/>
      <w:b/>
      <w:color w:val="auto"/>
      <w:sz w:val="22"/>
      <w:szCs w:val="22"/>
      <w:lang w:val="ru-RU" w:eastAsia="ru-RU" w:bidi="ar-SA"/>
    </w:rPr>
  </w:style>
  <w:style w:type="paragraph" w:styleId="679" w:customStyle="1">
    <w:name w:val="ConsPlusCell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2"/>
      <w:lang w:val="ru-RU" w:eastAsia="ru-RU" w:bidi="ar-SA"/>
    </w:rPr>
  </w:style>
  <w:style w:type="paragraph" w:styleId="680" w:customStyle="1">
    <w:name w:val="ConsPlusDocList"/>
    <w:qFormat/>
    <w:pPr>
      <w:jc w:val="left"/>
      <w:spacing w:before="0" w:after="0"/>
      <w:widowControl w:val="off"/>
    </w:pPr>
    <w:rPr>
      <w:rFonts w:ascii="Calibri" w:hAnsi="Calibri" w:eastAsia="Calibri" w:cs="Calibri"/>
      <w:color w:val="auto"/>
      <w:sz w:val="22"/>
      <w:szCs w:val="22"/>
      <w:lang w:val="ru-RU" w:eastAsia="ru-RU" w:bidi="ar-SA"/>
    </w:rPr>
  </w:style>
  <w:style w:type="paragraph" w:styleId="681" w:customStyle="1">
    <w:name w:val="ConsPlusTitlePage"/>
    <w:qFormat/>
    <w:pPr>
      <w:jc w:val="left"/>
      <w:spacing w:before="0" w:after="0"/>
      <w:widowControl w:val="off"/>
    </w:pPr>
    <w:rPr>
      <w:rFonts w:ascii="Tahoma" w:hAnsi="Tahoma" w:eastAsia="Calibri" w:cs="Tahoma"/>
      <w:color w:val="auto"/>
      <w:sz w:val="20"/>
      <w:szCs w:val="22"/>
      <w:lang w:val="ru-RU" w:eastAsia="ru-RU" w:bidi="ar-SA"/>
    </w:rPr>
  </w:style>
  <w:style w:type="paragraph" w:styleId="682" w:customStyle="1">
    <w:name w:val="ConsPlusJurTerm"/>
    <w:qFormat/>
    <w:pPr>
      <w:jc w:val="left"/>
      <w:spacing w:before="0" w:after="0"/>
      <w:widowControl w:val="off"/>
    </w:pPr>
    <w:rPr>
      <w:rFonts w:ascii="Tahoma" w:hAnsi="Tahoma" w:eastAsia="Calibri" w:cs="Tahoma"/>
      <w:color w:val="auto"/>
      <w:sz w:val="26"/>
      <w:szCs w:val="22"/>
      <w:lang w:val="ru-RU" w:eastAsia="ru-RU" w:bidi="ar-SA"/>
    </w:rPr>
  </w:style>
  <w:style w:type="paragraph" w:styleId="683" w:customStyle="1">
    <w:name w:val="ConsPlusTextList"/>
    <w:qFormat/>
    <w:pPr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2"/>
      <w:lang w:val="ru-RU" w:eastAsia="ru-RU" w:bidi="ar-SA"/>
    </w:rPr>
  </w:style>
  <w:style w:type="paragraph" w:styleId="684">
    <w:name w:val="List Paragraph"/>
    <w:basedOn w:val="651"/>
    <w:qFormat/>
    <w:pPr>
      <w:contextualSpacing/>
      <w:ind w:left="720" w:firstLine="0"/>
      <w:spacing w:before="0" w:after="200"/>
    </w:pPr>
  </w:style>
  <w:style w:type="paragraph" w:styleId="685" w:customStyle="1">
    <w:name w:val="Колонтитул"/>
    <w:basedOn w:val="651"/>
    <w:qFormat/>
  </w:style>
  <w:style w:type="paragraph" w:styleId="686">
    <w:name w:val="Header"/>
    <w:basedOn w:val="651"/>
    <w:link w:val="654"/>
    <w:pPr>
      <w:spacing w:before="0" w:after="0" w:line="240" w:lineRule="auto"/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87">
    <w:name w:val="Footer"/>
    <w:basedOn w:val="651"/>
    <w:link w:val="655"/>
    <w:pPr>
      <w:spacing w:before="0" w:after="0" w:line="240" w:lineRule="auto"/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88">
    <w:name w:val="Normal (Web)"/>
    <w:basedOn w:val="651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 w:customStyle="1">
    <w:name w:val="Comment"/>
    <w:basedOn w:val="651"/>
    <w:qFormat/>
    <w:pPr>
      <w:ind w:left="57" w:right="57" w:firstLine="0"/>
      <w:spacing w:before="56" w:after="0" w:line="240" w:lineRule="auto"/>
    </w:pPr>
    <w:rPr>
      <w:sz w:val="20"/>
      <w:szCs w:val="20"/>
    </w:rPr>
  </w:style>
  <w:style w:type="paragraph" w:styleId="690">
    <w:name w:val="annotation text"/>
    <w:basedOn w:val="651"/>
    <w:link w:val="659"/>
    <w:qFormat/>
    <w:pPr>
      <w:spacing w:line="240" w:lineRule="auto"/>
    </w:pPr>
    <w:rPr>
      <w:sz w:val="20"/>
      <w:szCs w:val="20"/>
    </w:rPr>
  </w:style>
  <w:style w:type="paragraph" w:styleId="691">
    <w:name w:val="Balloon Text"/>
    <w:basedOn w:val="651"/>
    <w:link w:val="661"/>
    <w:qFormat/>
    <w:pPr>
      <w:spacing w:before="0" w:after="0" w:line="240" w:lineRule="auto"/>
    </w:pPr>
    <w:rPr>
      <w:rFonts w:ascii="Tahoma" w:hAnsi="Tahoma"/>
      <w:sz w:val="16"/>
      <w:szCs w:val="16"/>
    </w:rPr>
  </w:style>
  <w:style w:type="paragraph" w:styleId="692">
    <w:name w:val="footnote text"/>
    <w:basedOn w:val="651"/>
    <w:link w:val="662"/>
    <w:pPr>
      <w:spacing w:before="0" w:after="0" w:line="240" w:lineRule="auto"/>
    </w:pPr>
    <w:rPr>
      <w:sz w:val="20"/>
      <w:szCs w:val="20"/>
    </w:rPr>
  </w:style>
  <w:style w:type="paragraph" w:styleId="693">
    <w:name w:val="annotation subject"/>
    <w:basedOn w:val="690"/>
    <w:next w:val="690"/>
    <w:link w:val="665"/>
    <w:qFormat/>
    <w:rPr>
      <w:b/>
      <w:bCs/>
    </w:rPr>
  </w:style>
  <w:style w:type="paragraph" w:styleId="694" w:customStyle="1">
    <w:name w:val="Содержимое таблицы"/>
    <w:basedOn w:val="651"/>
    <w:qFormat/>
    <w:pPr>
      <w:widowControl w:val="off"/>
      <w:suppressLineNumbers/>
    </w:pPr>
  </w:style>
  <w:style w:type="paragraph" w:styleId="695" w:customStyle="1">
    <w:name w:val="Заголовок таблицы"/>
    <w:basedOn w:val="694"/>
    <w:qFormat/>
    <w:pPr>
      <w:jc w:val="center"/>
    </w:pPr>
    <w:rPr>
      <w:b/>
      <w:bCs/>
    </w:rPr>
  </w:style>
  <w:style w:type="paragraph" w:styleId="696">
    <w:name w:val="Текст в заданном формате"/>
    <w:basedOn w:val="651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697" w:default="1">
    <w:name w:val="No List"/>
    <w:uiPriority w:val="99"/>
    <w:semiHidden/>
    <w:unhideWhenUsed/>
    <w:qFormat/>
  </w:style>
  <w:style w:type="numbering" w:styleId="698" w:customStyle="1">
    <w:name w:val="Без списка"/>
    <w:qFormat/>
  </w:style>
  <w:style w:type="table" w:styleId="69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970B7FB1-295E-4CD2-B11A-3686B9AD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cesi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Елена Фердинандовна</dc:creator>
  <dc:description/>
  <dc:language>ru-RU</dc:language>
  <cp:lastModifiedBy>kadr-3</cp:lastModifiedBy>
  <cp:revision>41</cp:revision>
  <dcterms:created xsi:type="dcterms:W3CDTF">2025-06-18T12:20:00Z</dcterms:created>
  <dcterms:modified xsi:type="dcterms:W3CDTF">2026-03-02T07:21:52Z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