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6" w:rsidRPr="00675A86" w:rsidRDefault="00675A86" w:rsidP="00675A86">
      <w:pPr>
        <w:spacing w:after="24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75A86">
        <w:rPr>
          <w:rFonts w:eastAsia="Times New Roman" w:cs="Times New Roman"/>
          <w:b/>
          <w:bCs/>
          <w:sz w:val="22"/>
          <w:lang w:eastAsia="ru-RU"/>
        </w:rPr>
        <w:t>Аннотированный перечень нормативных и научно-методических документов, разработанных архивными учреждениями Республики Татарстан в 2010-2013 гг.</w:t>
      </w:r>
    </w:p>
    <w:p w:rsidR="00675A86" w:rsidRPr="00675A86" w:rsidRDefault="00675A86" w:rsidP="00675A8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75A86">
        <w:rPr>
          <w:rFonts w:eastAsia="Times New Roman" w:cs="Times New Roman"/>
          <w:b/>
          <w:bCs/>
          <w:sz w:val="20"/>
          <w:lang w:eastAsia="ru-RU"/>
        </w:rPr>
        <w:t>1.</w:t>
      </w:r>
      <w:r w:rsidRPr="00675A8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75A86">
        <w:rPr>
          <w:rFonts w:eastAsia="Times New Roman" w:cs="Times New Roman"/>
          <w:b/>
          <w:bCs/>
          <w:sz w:val="20"/>
          <w:lang w:eastAsia="ru-RU"/>
        </w:rPr>
        <w:t xml:space="preserve">Нормативная база </w:t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 xml:space="preserve">Порядок предоставления обязательного экземпляра аудиовизуальной продукции в Центральный государственный архив аудиовизуальной документации Республики Татарстан (утвержден Постановлением Кабинета Министров РТ 03.10.2012 № 823)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>Порядок разработан в соответствии с Федеральным законом от 29 декабря 1994 года № 77-ФЗ «Об обязательном экземпляре документов», Законом Республики Татарстан от 18 января 2005 года № 5-ЗРТ «Об обязательном экземпляре документов Республики Татарстан», в целях обеспечения сохранности и использования аудиовизуальной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продукции на территории Республики Татарстан.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Целью Порядка является определение механизма передачи в Центральный государственный архив аудиовизуальных документов Республики Татарстан обязательного экземпляра аудиовизуальной продукции, В Порядке определяются категории производителей аудиовизуальной продукции, которые представляют обязательный экземпляр аудиовизуальной продукции в ЦГА АД РТ, перечни сопроводительной документации, технические требования к предоставляемым обязательным экземплярам аудиовизуальной продукции применительно к каждому виду продукции.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lang w:eastAsia="ru-RU"/>
        </w:rPr>
        <w:t xml:space="preserve">Примерные номенклатуры дел </w:t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Примерные номенклатуры дел разработаны на основании изучения состава и содержания документов, создающихся в деятельности структур муниципальных районов и городских округов в целях рациональной организации делопроизводства, упорядочения, учета и обеспечения сохранности документов до передачи их на постоянное хранение. Номенклатуры дел построены по функциональной схеме, названия их разделов отражают направления деятельности организаций. Носят рекомендательный характер.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1.2. Примерная номенклатура дел финансово-бюджетного органа муниципального района (городского округа) – Главное архивное управление при Кабинете Министров Республики Татарстан, Казань,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1.3. Примерная номенклатура дел Палаты (управления, комитета) имущественных и земельных отношений муниципального района (городского округа) Республики Татарстан – Главное архивное управление при Кабинете Министров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1.4. Примерная номенклатура дел отдела (управления) экономики (территориального развития) исполнительного комитета муниципального района (городского округа) Республики Татарстан – Главное архивное управление при Кабинете Министров Республики Татарстан, Казань, 2013.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1.5. Нормы времени и выработки на основные виды работ, выполняемые в Государственном архиве документов по личному составу Республики Татарстан - Государственный архив документов по личному составу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 xml:space="preserve">Нормы времени разработаны в целях определения трудоемкости всего комплекса работ при планировании деятельности Государственного архива документов по личному составу Республики Татарстан, для расчета и обоснования необходимой численности основного персонала, анализа фактических затрат рабочего времени с учетом действующих трудового и архивного законодательств.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>1.6 Должностные инструкции начальника и главных специалистов отдела ведомственных архивов, главного специалиста (главного инженера), главного специалиста (энергетика), заведующего складом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. – Национальный архив Республики Татарстан, Казань, 2012.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Должностные инструкции начальника и главного специалиста по работе с управленческой документацией отдела ведомственных архивов переработаны в соответствии с разделом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11 апреля 2012 г. № 338н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, разработана должностная инструкция главного специалиста по работе с научно-технической документацией, документами личного происхождения.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связи с уточнением должностных обязанностей переработаны должностные инструкции главного специалиста (главного инженера) и главного специалиста (энергетика), разработана должностная инструкция заведующего складом.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lang w:eastAsia="ru-RU"/>
        </w:rPr>
        <w:t xml:space="preserve">2. Обеспечение сохранности и государственный учет документов </w:t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t xml:space="preserve">2.1. Инструкция по заполнению паспорта архивохранилища документов на бумажных носителях. – Национальный архив Республики Татарстан, Казань,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Инструкция подготовлена в развитие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пп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. 3.4.1., 3.5.8. «Правил организации хранения, комплектования, учета и использования документов Архивного фонда РФ и других архивных документов в государственных </w:t>
      </w:r>
      <w:r w:rsidRPr="00675A86">
        <w:rPr>
          <w:rFonts w:eastAsia="Times New Roman" w:cs="Times New Roman"/>
          <w:sz w:val="20"/>
          <w:szCs w:val="20"/>
          <w:lang w:eastAsia="ru-RU"/>
        </w:rPr>
        <w:lastRenderedPageBreak/>
        <w:t xml:space="preserve">и муниципальных архивах, музеях и библиотеках, организациях Российской академии наук» (М., 2007). В инструкции дана форма паспорта архивохранилища, образец заполнения объяснительной записки, методика заполнения разделов паспорта.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2.2. Инструкция по заполнению паспорта архивохранилища фотодокументов и страхового фонда. – Национальный архив Республики Татарстан, Казань,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Инструкция подготовлена в развитие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пп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. 3.4.1., 3.5.8. «Правил организации хранения, комплектования, учета и использования документов Архивного фонда РФ и других архивных документов в государственных и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муни¬ципальных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архивах, музеях и библиотеках, организациях Российской академии наук» (М., 2007). В инструкции дана форма паспорта архивохранилища, образец заполнения объяснительной записки, методика заполнения разделов паспорта.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2.3. Памятка по методике ведения учетных картотек архивохранилищ. – Казань, Национальный архив Республики Татарстан,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Памятка подготовлена в целях развития и совершенствования учета архивохранилищ, приведения его в соответствие с централизованным учетом архива, планирования работы архивохранилища. В памятке даны рекомендации по ведению фондовой картотеки архивохранилища, топографических указателей, картотек учета фондов, прошедших проверку наличия, учета состояния фондов, учета необнаруженных архивных документов, учета архивных документов на бумажной основе с повреждениями носителя и текста. В приложении даны формы карточек и примеры их заполнения.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2.4. Порядок хранения, учета и использования уникальных документов Национального архива РТ. – Казань, Национальный архив Республики Татарстан,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порядке определена организация работы по учету уникальных документов, в т.ч. в ПК «Архивный фонд», по передаче уникальных документов на сейфовое хранение, по организации их хранения, проведения проверки наличия и состояния, порядок использования. В приложении даны формы акта передачи уникальных документов на сейфовое хранение, списка фондов, содержащих уникальные документы, акта о внесении изменений в Лист учета и описания уникального документа, журнала выдачи копий фонда пользования уникальных документов, заказа на выдачу уникальных документов.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2.5. Памятка по организации работы по проверке наличия и состояния фотодокументов на пленочных и бумажных носителях (в виде негативов и позитивов). – Казань, Центральный государственный архив аудиовизуальных документов Республики Татарстан, 2010.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памятке освещен порядок проведения проверки наличия и состояния фотодокументов, оформления результатов проверки наличия и состояния фотодокументов, внесения изменений в учетные документы.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 xml:space="preserve">Памятка разработана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(М.,2007); Основными правилами работы государственных архивов с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кинофотофонодокументами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>» (М.,1980г.), в части, не противоречащей вышеуказанным Правилам (М.,2007);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Инструкцией по проведению проверки наличия и состояния фотодокументов, хранящихся в РГАКФД, (Красногорск, 2008). В памятке нашел отражение опыт работы ЦГА АД РТ.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>2.6. Памятка по организации работы по проверке наличия и состояния машиночитаемых документов (электронных фот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о-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видеодокументов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). – Центральный государственный архив аудиовизуальных документов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>Основная задача памятки - систематизировать и обобщить правила организации работы по проведению проверки наличия и состояния машиночитаемых документов (электронных фот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о-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видеодокументов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).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памятке освещен порядок проведения проверки наличия и состояния, оформления результатов проверки наличия и состояния машиночитаемых документов, внесения изменений в учетные документы.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2.7. Временный порядок по сканированию документов в Национальном архиве Республики Татарстан. – Национальный архив Республики Татарстан, Казань, 2012.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Временный порядок подготовлен в рамках исполнения приказа директора НА РТ от 15 марта 2011 г. № 2-О. В нем даны системные требования к созданию электронного фонда пользования, требования по сканированию документов (формат, разрешение, цвет изображения), формирование электронных копий на жестком диске, передача дисков на хранение.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2.8. Порядок хранения, учета и использования электронных копий архивных документов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НА РТ. – Национальный архив Республики Татарстан, Казань, 2013.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Порядок разработан в соответствии с «Методическими рекомендациями по электронному копированию архивных документов и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управлению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полученным информационным массивом» (М., 2012). В нём изложена организация работы по подготовке и передаче документов на оцифровку, создания электронных копий архивных документов, организация передачи на хранение, порядок учёта и описания, хранения электронных копий и доступа к ним. Определены структурные подразделения, осуществляющие создание и хранение электронных копий фонда пользования ЭФП-1, ЭФП-2, ЭФП-3.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приложении даны формы заказа на изготовление электронных копий, актов контроля качества, приёма-передачи внешних носителей, создания электронной книги, проверки наличия и состояния, технической проверки ЭФП, журналов учёта заказов на создание электронных копий, регистрации внешних носителей, учёта выдачи электронных копий, книги учёта поступлений ЭФП, описи.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lastRenderedPageBreak/>
        <w:br/>
      </w:r>
      <w:r w:rsidRPr="00675A86">
        <w:rPr>
          <w:rFonts w:eastAsia="Times New Roman" w:cs="Times New Roman"/>
          <w:b/>
          <w:bCs/>
          <w:sz w:val="20"/>
          <w:lang w:eastAsia="ru-RU"/>
        </w:rPr>
        <w:t>3. Комплектование архивов</w:t>
      </w:r>
      <w:r w:rsidRPr="00675A8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3.1. Информационно-методическое письмо о порядке проведения проверки наличия и состояния дел в архивах организаций – источников комплектования Национального архива РТ. – Национальный архив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Информационно-методическое письмо подготовлено в помощь заведующим архивами и ответственным за архивы организаций, размещено на сайте «Архивная служба Республики Татарстан».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 xml:space="preserve">В нем изложен порядок проведения проверки наличия и состояния дел в организациях, дана методика заполнения листа проверки наличия и состояния дел, изложен порядок проведения розыска необнаруженных дел, указаны пути розыска, дана методика составления справки о проведении розыска необнаруженных дел, а также порядок оформления неисправимо поврежденных дел и составления экспертного заключения о физическом состоянии документов.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>3.2.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Методические рекомендации по отбору на постоянное хранение и денежной оценке фотодокументов, находящихся в личной собственности граждан. – Центральный государственный архив аудиовизуальных документов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В методических рекомендациях на основе нормативно-методических документов, изучения опыта РГАКФД и ЦГА АД РТ изложен порядок применения основных принципов и критериев отбора фотодокументов, находящихся в личной собственности граждан, при их возмездном приобретении. Разработаны также таблицы примерных расценок фотодокументов на основе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принципов построения классификационной схемы Единого классификатора документной информации Архивного фонда Российской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Федерации (М.,2007), определены новые примерные расценки на приобретаемые фотодокументы, находящиеся в личной собственности граждан.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3.3. Памятка «Отбор на постоянное хранение документов личного происхождения в муниципальных архивах РТ» – Главное архивное управление при Кабинете Министров Республики Татарстан, Казань, 2012.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Цель Памятки - оказание методической помощи сотрудникам муниципальных архивов в организации выявления держателей документов личного происхождения, отбора на постоянное хранение документов, образовавшихся в процессе деятельности отдельных лиц, и составлении сдаточной описи документов.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3.4. Информационно-методическое письмо о порядке отбора особо ценных документов в организациях – источниках комплектования Национального архива РТ. – Казань, 2012.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Информационно-методическое письмо подготовлено в помощь заведующим архивами и ответственным за архивы организаций. В нем изложен порядок выявления особо ценных документов в организациях, критерии отбора, методика составления и оформления аннотированных перечней дел, содержащих особо ценные документы, описей и оформления обложек дел.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3.5. Примерная форма аналитической справки к списку организаций – источников комплектования муниципальных архивов - Главное архивное управление при Кабинете Министров Республики Татарстан, Казань, 2012.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Целью методической разработки является оказание методической помощи сотрудникам муниципальных архивов в составлении списка организаций – источников комплектования муниципальных архивов с учетом изменений в составе источников комплектования, форм их собственности, форм приема документов и т.п., произошедших со времени составления устаревшего списка № 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lang w:eastAsia="ru-RU"/>
        </w:rPr>
        <w:t>4. Создание информационно-поисковых систем, научной информации и использования документов</w:t>
      </w:r>
      <w:r w:rsidRPr="00675A8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4.1. Руководство пользователю базой данных «Учет фотодокументов». – Национальный архив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Руководство разработано в помощь сотрудникам отдела обеспечения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со¬хранности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, НСА и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гос¬учета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документов. В нем поэтапно, с указанием конкретных экранов и клавиш изложен порядок работы в режиме ввода данных и редактирования, загрузки фотодокументов, работы со справочниками и вывода документов в печать.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4.2. Памятка по организации работы по проведению учета состояния научно-справочного аппарата к документам архива. – Национальный архив Республики Татарстан, Казань, 2011.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Памятка разработана в развитие п. 5.3.1. «Правил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 (М., 2007). В памятке дана методика </w:t>
      </w:r>
      <w:proofErr w:type="gramStart"/>
      <w:r w:rsidRPr="00675A86">
        <w:rPr>
          <w:rFonts w:eastAsia="Times New Roman" w:cs="Times New Roman"/>
          <w:sz w:val="20"/>
          <w:szCs w:val="20"/>
          <w:lang w:eastAsia="ru-RU"/>
        </w:rPr>
        <w:t>ведения журналов учета состояния элементов</w:t>
      </w:r>
      <w:proofErr w:type="gram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НСА – описей, каталога, тематических баз данных, указателей и тематических перечней, путеводителей по фондам НА РТ, а так же журнала учета состояния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на¬учно-справочного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аппарата архива на уровне фонда. В приложении даны формы журналов.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4.3. Руководство по ведению тематической базы данных «Вопросы, рассмотренные на заседаниях бюро обкомов, горкомов и райкомов КПСС и ВЛКСМ» - Центральный государственный архив историко-политической документации Республики Татарстан, Казань, 2013.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Руководство разработано для облегчения работы администраторов и пользователей программы и содержит </w:t>
      </w:r>
      <w:r w:rsidRPr="00675A86">
        <w:rPr>
          <w:rFonts w:eastAsia="Times New Roman" w:cs="Times New Roman"/>
          <w:sz w:val="20"/>
          <w:szCs w:val="20"/>
          <w:lang w:eastAsia="ru-RU"/>
        </w:rPr>
        <w:lastRenderedPageBreak/>
        <w:t xml:space="preserve">вопросы по всем этапам работы с базой: ведение базы данных, ее редактирование, поиск информации, завершение и сохранение копии базы данных.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4.4. Обзор фонда № 8233 «Коллекция архивно-следственных и фильтрационно-проверочных дел». – Центральный государственный архив историко-политической документации Республики Татарстан, Казань, 2013.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Обзор содержит историческую справку о </w:t>
      </w:r>
      <w:proofErr w:type="spellStart"/>
      <w:r w:rsidRPr="00675A86">
        <w:rPr>
          <w:rFonts w:eastAsia="Times New Roman" w:cs="Times New Roman"/>
          <w:sz w:val="20"/>
          <w:szCs w:val="20"/>
          <w:lang w:eastAsia="ru-RU"/>
        </w:rPr>
        <w:t>фондообразователе</w:t>
      </w:r>
      <w:proofErr w:type="spellEnd"/>
      <w:r w:rsidRPr="00675A86">
        <w:rPr>
          <w:rFonts w:eastAsia="Times New Roman" w:cs="Times New Roman"/>
          <w:sz w:val="20"/>
          <w:szCs w:val="20"/>
          <w:lang w:eastAsia="ru-RU"/>
        </w:rPr>
        <w:t xml:space="preserve"> и фонде, характеристику состава и содержания архивно-следственных и фильтрационно-проверочных дел. В основу построения обзора положен номинальный принцип, т.к. материалы фонда представлены однородными видами документов. В характеристиках дается содержание документов с их источниковедческим анализом, указываются основные разновидности документов, их авторы, хронологические рамки, поисковые данные.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b/>
          <w:bCs/>
          <w:sz w:val="20"/>
          <w:lang w:eastAsia="ru-RU"/>
        </w:rPr>
        <w:t xml:space="preserve">5. Межведомственное взаимодействие </w:t>
      </w:r>
      <w:r w:rsidRPr="00675A86">
        <w:rPr>
          <w:rFonts w:eastAsia="Times New Roman" w:cs="Times New Roman"/>
          <w:b/>
          <w:bCs/>
          <w:sz w:val="20"/>
          <w:szCs w:val="20"/>
          <w:lang w:eastAsia="ru-RU"/>
        </w:rPr>
        <w:br/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5.1. Руководство по внедрению электронного документооборота между муниципальными архивами Республики Татарстан и территориальными органами Пенсионного фонда Российской Федерации по Республике Татарстан - Главное архивное управление при Кабинете Министров Республики Татарстан, Управление муниципального архива исполнительного комитета МО г. Казань, Казань, 2013. </w:t>
      </w:r>
      <w:r w:rsidRPr="00675A86">
        <w:rPr>
          <w:rFonts w:eastAsia="Times New Roman" w:cs="Times New Roman"/>
          <w:sz w:val="20"/>
          <w:szCs w:val="20"/>
          <w:lang w:eastAsia="ru-RU"/>
        </w:rPr>
        <w:br/>
        <w:t xml:space="preserve">Рабочая инструкция устанавливает единую для муниципальных архивов Республики Татарстан систему организации и порядок ведения электронного документооборота юридически значимыми документами в процессе исполнения обращений граждан о подтверждении стажа работы и (или) величины заработной платы, поступивших каналами защищенной связи от территориальных органов Пенсионного фонда Российской Федерации по Республике Татарстан. </w:t>
      </w:r>
    </w:p>
    <w:p w:rsidR="00B62E99" w:rsidRPr="00B62E99" w:rsidRDefault="00B62E99" w:rsidP="00B62E99">
      <w:pPr>
        <w:jc w:val="center"/>
        <w:rPr>
          <w:szCs w:val="24"/>
        </w:rPr>
      </w:pPr>
    </w:p>
    <w:sectPr w:rsidR="00B62E99" w:rsidRPr="00B62E99" w:rsidSect="00675A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385A"/>
    <w:rsid w:val="000C4364"/>
    <w:rsid w:val="000F4ACD"/>
    <w:rsid w:val="000F5D73"/>
    <w:rsid w:val="000F674E"/>
    <w:rsid w:val="00100036"/>
    <w:rsid w:val="001622AF"/>
    <w:rsid w:val="003D793D"/>
    <w:rsid w:val="003F27B7"/>
    <w:rsid w:val="004C5843"/>
    <w:rsid w:val="004D6B23"/>
    <w:rsid w:val="00541206"/>
    <w:rsid w:val="005F769A"/>
    <w:rsid w:val="00635861"/>
    <w:rsid w:val="00675A86"/>
    <w:rsid w:val="00725543"/>
    <w:rsid w:val="007338E7"/>
    <w:rsid w:val="00860E6B"/>
    <w:rsid w:val="00942422"/>
    <w:rsid w:val="00A94C69"/>
    <w:rsid w:val="00B34795"/>
    <w:rsid w:val="00B5688C"/>
    <w:rsid w:val="00B62E99"/>
    <w:rsid w:val="00BE224E"/>
    <w:rsid w:val="00BF3AAC"/>
    <w:rsid w:val="00C71EE0"/>
    <w:rsid w:val="00CD067B"/>
    <w:rsid w:val="00CF184F"/>
    <w:rsid w:val="00EA5254"/>
    <w:rsid w:val="00F4385A"/>
    <w:rsid w:val="00F55A39"/>
    <w:rsid w:val="00F71CE1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D793D"/>
    <w:rPr>
      <w:color w:val="1C587F"/>
      <w:u w:val="single"/>
    </w:rPr>
  </w:style>
  <w:style w:type="character" w:styleId="a8">
    <w:name w:val="FollowedHyperlink"/>
    <w:basedOn w:val="a0"/>
    <w:uiPriority w:val="99"/>
    <w:semiHidden/>
    <w:unhideWhenUsed/>
    <w:rsid w:val="003D793D"/>
    <w:rPr>
      <w:color w:val="1C587F"/>
      <w:u w:val="single"/>
    </w:rPr>
  </w:style>
  <w:style w:type="paragraph" w:customStyle="1" w:styleId="w30p">
    <w:name w:val="w3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50p">
    <w:name w:val="w5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70p">
    <w:name w:val="w7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">
    <w:name w:val="w100p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100pbr">
    <w:name w:val="w100pbr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t1br">
    <w:name w:val="bt1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36"/>
      <w:szCs w:val="36"/>
      <w:lang w:eastAsia="ru-RU"/>
    </w:rPr>
  </w:style>
  <w:style w:type="paragraph" w:customStyle="1" w:styleId="bt3b">
    <w:name w:val="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lang w:eastAsia="ru-RU"/>
    </w:rPr>
  </w:style>
  <w:style w:type="paragraph" w:customStyle="1" w:styleId="ubt3b">
    <w:name w:val="ubt3b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161814"/>
      <w:sz w:val="20"/>
      <w:szCs w:val="20"/>
      <w:u w:val="single"/>
      <w:lang w:eastAsia="ru-RU"/>
    </w:rPr>
  </w:style>
  <w:style w:type="paragraph" w:customStyle="1" w:styleId="bt3br">
    <w:name w:val="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lang w:eastAsia="ru-RU"/>
    </w:rPr>
  </w:style>
  <w:style w:type="paragraph" w:customStyle="1" w:styleId="ubt3br">
    <w:name w:val="ubt3br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B3672B"/>
      <w:sz w:val="20"/>
      <w:szCs w:val="20"/>
      <w:u w:val="single"/>
      <w:lang w:eastAsia="ru-RU"/>
    </w:rPr>
  </w:style>
  <w:style w:type="paragraph" w:customStyle="1" w:styleId="ubt3y">
    <w:name w:val="ubt3y"/>
    <w:basedOn w:val="a"/>
    <w:rsid w:val="003D793D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AECD1"/>
      <w:sz w:val="20"/>
      <w:szCs w:val="20"/>
      <w:lang w:eastAsia="ru-RU"/>
    </w:rPr>
  </w:style>
  <w:style w:type="paragraph" w:customStyle="1" w:styleId="t4">
    <w:name w:val="t4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20"/>
      <w:szCs w:val="20"/>
      <w:lang w:eastAsia="ru-RU"/>
    </w:rPr>
  </w:style>
  <w:style w:type="paragraph" w:customStyle="1" w:styleId="t4b">
    <w:name w:val="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lang w:eastAsia="ru-RU"/>
    </w:rPr>
  </w:style>
  <w:style w:type="paragraph" w:customStyle="1" w:styleId="bt4b">
    <w:name w:val="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lang w:eastAsia="ru-RU"/>
    </w:rPr>
  </w:style>
  <w:style w:type="paragraph" w:customStyle="1" w:styleId="it4b">
    <w:name w:val="i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i/>
      <w:iCs/>
      <w:color w:val="373F30"/>
      <w:sz w:val="20"/>
      <w:szCs w:val="20"/>
      <w:lang w:eastAsia="ru-RU"/>
    </w:rPr>
  </w:style>
  <w:style w:type="paragraph" w:customStyle="1" w:styleId="ut4b">
    <w:name w:val="u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373F30"/>
      <w:sz w:val="20"/>
      <w:szCs w:val="20"/>
      <w:u w:val="single"/>
      <w:lang w:eastAsia="ru-RU"/>
    </w:rPr>
  </w:style>
  <w:style w:type="paragraph" w:customStyle="1" w:styleId="ibt4b">
    <w:name w:val="i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i/>
      <w:iCs/>
      <w:color w:val="373F30"/>
      <w:sz w:val="20"/>
      <w:szCs w:val="20"/>
      <w:lang w:eastAsia="ru-RU"/>
    </w:rPr>
  </w:style>
  <w:style w:type="paragraph" w:customStyle="1" w:styleId="ubt4b">
    <w:name w:val="ubt4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373F30"/>
      <w:sz w:val="20"/>
      <w:szCs w:val="20"/>
      <w:u w:val="single"/>
      <w:lang w:eastAsia="ru-RU"/>
    </w:rPr>
  </w:style>
  <w:style w:type="paragraph" w:customStyle="1" w:styleId="t4w">
    <w:name w:val="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lang w:eastAsia="ru-RU"/>
    </w:rPr>
  </w:style>
  <w:style w:type="paragraph" w:customStyle="1" w:styleId="bt4w">
    <w:name w:val="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lang w:eastAsia="ru-RU"/>
    </w:rPr>
  </w:style>
  <w:style w:type="paragraph" w:customStyle="1" w:styleId="ut4w">
    <w:name w:val="u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FFFFFF"/>
      <w:sz w:val="20"/>
      <w:szCs w:val="20"/>
      <w:u w:val="single"/>
      <w:lang w:eastAsia="ru-RU"/>
    </w:rPr>
  </w:style>
  <w:style w:type="paragraph" w:customStyle="1" w:styleId="ubt4w">
    <w:name w:val="ubt4w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FFFFFF"/>
      <w:sz w:val="20"/>
      <w:szCs w:val="20"/>
      <w:u w:val="single"/>
      <w:lang w:eastAsia="ru-RU"/>
    </w:rPr>
  </w:style>
  <w:style w:type="paragraph" w:customStyle="1" w:styleId="t4g">
    <w:name w:val="t4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C784F"/>
      <w:sz w:val="20"/>
      <w:szCs w:val="20"/>
      <w:lang w:eastAsia="ru-RU"/>
    </w:rPr>
  </w:style>
  <w:style w:type="paragraph" w:customStyle="1" w:styleId="ubt4br">
    <w:name w:val="ubt4b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895635"/>
      <w:sz w:val="20"/>
      <w:szCs w:val="20"/>
      <w:u w:val="single"/>
      <w:lang w:eastAsia="ru-RU"/>
    </w:rPr>
  </w:style>
  <w:style w:type="paragraph" w:customStyle="1" w:styleId="t4r">
    <w:name w:val="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990000"/>
      <w:sz w:val="20"/>
      <w:szCs w:val="20"/>
      <w:lang w:eastAsia="ru-RU"/>
    </w:rPr>
  </w:style>
  <w:style w:type="paragraph" w:customStyle="1" w:styleId="bt4r">
    <w:name w:val="bt4r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b/>
      <w:bCs/>
      <w:color w:val="990000"/>
      <w:sz w:val="20"/>
      <w:szCs w:val="20"/>
      <w:lang w:eastAsia="ru-RU"/>
    </w:rPr>
  </w:style>
  <w:style w:type="paragraph" w:customStyle="1" w:styleId="t5">
    <w:name w:val="t5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sz w:val="15"/>
      <w:szCs w:val="15"/>
      <w:lang w:eastAsia="ru-RU"/>
    </w:rPr>
  </w:style>
  <w:style w:type="paragraph" w:customStyle="1" w:styleId="t5b">
    <w:name w:val="t5b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000000"/>
      <w:sz w:val="15"/>
      <w:szCs w:val="15"/>
      <w:lang w:eastAsia="ru-RU"/>
    </w:rPr>
  </w:style>
  <w:style w:type="paragraph" w:customStyle="1" w:styleId="t5g">
    <w:name w:val="t5g"/>
    <w:basedOn w:val="a"/>
    <w:rsid w:val="003D793D"/>
    <w:pPr>
      <w:spacing w:before="100" w:beforeAutospacing="1" w:after="100" w:afterAutospacing="1" w:line="240" w:lineRule="auto"/>
    </w:pPr>
    <w:rPr>
      <w:rFonts w:eastAsia="Times New Roman" w:hAnsi="Tahoma" w:cs="Tahoma"/>
      <w:color w:val="888888"/>
      <w:sz w:val="15"/>
      <w:szCs w:val="15"/>
      <w:lang w:eastAsia="ru-RU"/>
    </w:rPr>
  </w:style>
  <w:style w:type="paragraph" w:customStyle="1" w:styleId="bg0">
    <w:name w:val="bg0"/>
    <w:basedOn w:val="a"/>
    <w:rsid w:val="003D793D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3D793D"/>
    <w:pPr>
      <w:shd w:val="clear" w:color="auto" w:fill="FCF1DA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3D793D"/>
    <w:pPr>
      <w:shd w:val="clear" w:color="auto" w:fill="2B81C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g3">
    <w:name w:val="bg3"/>
    <w:basedOn w:val="a"/>
    <w:rsid w:val="003D793D"/>
    <w:pPr>
      <w:shd w:val="clear" w:color="auto" w:fill="D38D51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2014-05-14T10:51:00Z</dcterms:created>
  <dcterms:modified xsi:type="dcterms:W3CDTF">2014-05-14T10:52:00Z</dcterms:modified>
</cp:coreProperties>
</file>